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noProof/>
          <w:sz w:val="24"/>
          <w:szCs w:val="24"/>
          <w:lang w:eastAsia="hr-HR"/>
        </w:rPr>
        <w:drawing>
          <wp:inline distT="0" distB="0" distL="0" distR="0">
            <wp:extent cx="135255" cy="127000"/>
            <wp:effectExtent l="0" t="0" r="0" b="6350"/>
            <wp:docPr id="8" name="Picture 8" descr="https://narodne-novine.nn.hr/img/icon-inf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arodne-novine.nn.hr/img/icon-info.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255" cy="127000"/>
                    </a:xfrm>
                    <a:prstGeom prst="rect">
                      <a:avLst/>
                    </a:prstGeom>
                    <a:noFill/>
                    <a:ln>
                      <a:noFill/>
                    </a:ln>
                  </pic:spPr>
                </pic:pic>
              </a:graphicData>
            </a:graphic>
          </wp:inline>
        </w:drawing>
      </w:r>
      <w:hyperlink r:id="rId5" w:history="1">
        <w:r w:rsidRPr="00704644">
          <w:rPr>
            <w:rFonts w:ascii="Times New Roman" w:eastAsia="Times New Roman" w:hAnsi="Times New Roman" w:cs="Times New Roman"/>
            <w:b/>
            <w:bCs/>
            <w:color w:val="000000"/>
            <w:sz w:val="24"/>
            <w:szCs w:val="24"/>
            <w:u w:val="single"/>
            <w:lang w:eastAsia="hr-HR"/>
          </w:rPr>
          <w:t>Upute za korištenje</w:t>
        </w:r>
        <w:r w:rsidRPr="00704644">
          <w:rPr>
            <w:rFonts w:ascii="Times New Roman" w:eastAsia="Times New Roman" w:hAnsi="Times New Roman" w:cs="Times New Roman"/>
            <w:color w:val="000000"/>
            <w:sz w:val="24"/>
            <w:szCs w:val="24"/>
            <w:u w:val="single"/>
            <w:lang w:eastAsia="hr-HR"/>
          </w:rPr>
          <w:t xml:space="preserve"> </w:t>
        </w:r>
      </w:hyperlink>
    </w:p>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noProof/>
          <w:sz w:val="24"/>
          <w:szCs w:val="24"/>
          <w:lang w:eastAsia="hr-HR"/>
        </w:rPr>
        <w:drawing>
          <wp:inline distT="0" distB="0" distL="0" distR="0">
            <wp:extent cx="135255" cy="127000"/>
            <wp:effectExtent l="0" t="0" r="0" b="6350"/>
            <wp:docPr id="7" name="Picture 7" descr="https://narodne-novine.nn.hr/img/icon-mai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arodne-novine.nn.hr/img/icon-mail.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5255" cy="127000"/>
                    </a:xfrm>
                    <a:prstGeom prst="rect">
                      <a:avLst/>
                    </a:prstGeom>
                    <a:noFill/>
                    <a:ln>
                      <a:noFill/>
                    </a:ln>
                  </pic:spPr>
                </pic:pic>
              </a:graphicData>
            </a:graphic>
          </wp:inline>
        </w:drawing>
      </w:r>
      <w:hyperlink r:id="rId7" w:history="1">
        <w:r w:rsidRPr="00704644">
          <w:rPr>
            <w:rFonts w:ascii="Times New Roman" w:eastAsia="Times New Roman" w:hAnsi="Times New Roman" w:cs="Times New Roman"/>
            <w:color w:val="0000FF"/>
            <w:sz w:val="24"/>
            <w:szCs w:val="24"/>
            <w:u w:val="single"/>
            <w:lang w:eastAsia="hr-HR"/>
          </w:rPr>
          <w:t>Elektronička pošta</w:t>
        </w:r>
      </w:hyperlink>
      <w:r w:rsidRPr="00704644">
        <w:rPr>
          <w:rFonts w:ascii="Times New Roman" w:eastAsia="Times New Roman" w:hAnsi="Times New Roman" w:cs="Times New Roman"/>
          <w:sz w:val="24"/>
          <w:szCs w:val="24"/>
          <w:lang w:eastAsia="hr-HR"/>
        </w:rPr>
        <w:t xml:space="preserve"> </w:t>
      </w:r>
    </w:p>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noProof/>
          <w:sz w:val="24"/>
          <w:szCs w:val="24"/>
          <w:lang w:eastAsia="hr-HR"/>
        </w:rPr>
        <w:drawing>
          <wp:inline distT="0" distB="0" distL="0" distR="0">
            <wp:extent cx="135255" cy="127000"/>
            <wp:effectExtent l="0" t="0" r="0" b="6350"/>
            <wp:docPr id="6" name="Picture 6" descr="https://narodne-novine.nn.hr/img/icon-hom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narodne-novine.nn.hr/img/icon-home.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255" cy="127000"/>
                    </a:xfrm>
                    <a:prstGeom prst="rect">
                      <a:avLst/>
                    </a:prstGeom>
                    <a:noFill/>
                    <a:ln>
                      <a:noFill/>
                    </a:ln>
                  </pic:spPr>
                </pic:pic>
              </a:graphicData>
            </a:graphic>
          </wp:inline>
        </w:drawing>
      </w:r>
      <w:hyperlink r:id="rId9" w:history="1">
        <w:r w:rsidRPr="00704644">
          <w:rPr>
            <w:rFonts w:ascii="Times New Roman" w:eastAsia="Times New Roman" w:hAnsi="Times New Roman" w:cs="Times New Roman"/>
            <w:color w:val="0000FF"/>
            <w:sz w:val="24"/>
            <w:szCs w:val="24"/>
            <w:u w:val="single"/>
            <w:lang w:eastAsia="hr-HR"/>
          </w:rPr>
          <w:t>Početna stranica</w:t>
        </w:r>
      </w:hyperlink>
      <w:r w:rsidRPr="00704644">
        <w:rPr>
          <w:rFonts w:ascii="Times New Roman" w:eastAsia="Times New Roman" w:hAnsi="Times New Roman" w:cs="Times New Roman"/>
          <w:sz w:val="24"/>
          <w:szCs w:val="24"/>
          <w:lang w:eastAsia="hr-HR"/>
        </w:rPr>
        <w:t xml:space="preserve"> </w:t>
      </w:r>
    </w:p>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noProof/>
          <w:sz w:val="24"/>
          <w:szCs w:val="24"/>
          <w:lang w:eastAsia="hr-HR"/>
        </w:rPr>
        <w:drawing>
          <wp:inline distT="0" distB="0" distL="0" distR="0">
            <wp:extent cx="1264285" cy="158750"/>
            <wp:effectExtent l="0" t="0" r="0" b="0"/>
            <wp:docPr id="5" name="Picture 5" descr="https://narodne-novine.nn.hr/img/nn-glagoljic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narodne-novine.nn.hr/img/nn-glagoljic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4285" cy="158750"/>
                    </a:xfrm>
                    <a:prstGeom prst="rect">
                      <a:avLst/>
                    </a:prstGeom>
                    <a:noFill/>
                    <a:ln>
                      <a:noFill/>
                    </a:ln>
                  </pic:spPr>
                </pic:pic>
              </a:graphicData>
            </a:graphic>
          </wp:inline>
        </w:drawing>
      </w:r>
      <w:r w:rsidRPr="00704644">
        <w:rPr>
          <w:rFonts w:ascii="Times New Roman" w:eastAsia="Times New Roman" w:hAnsi="Times New Roman" w:cs="Times New Roman"/>
          <w:noProof/>
          <w:sz w:val="24"/>
          <w:szCs w:val="24"/>
          <w:lang w:eastAsia="hr-HR"/>
        </w:rPr>
        <w:drawing>
          <wp:inline distT="0" distB="0" distL="0" distR="0">
            <wp:extent cx="1264285" cy="158750"/>
            <wp:effectExtent l="0" t="0" r="0" b="0"/>
            <wp:docPr id="4" name="Picture 4" descr="https://narodne-novine.nn.hr/img/nn-glagoljic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narodne-novine.nn.hr/img/nn-glagoljic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4285" cy="158750"/>
                    </a:xfrm>
                    <a:prstGeom prst="rect">
                      <a:avLst/>
                    </a:prstGeom>
                    <a:noFill/>
                    <a:ln>
                      <a:noFill/>
                    </a:ln>
                  </pic:spPr>
                </pic:pic>
              </a:graphicData>
            </a:graphic>
          </wp:inline>
        </w:drawing>
      </w:r>
      <w:r w:rsidRPr="00704644">
        <w:rPr>
          <w:rFonts w:ascii="Times New Roman" w:eastAsia="Times New Roman" w:hAnsi="Times New Roman" w:cs="Times New Roman"/>
          <w:noProof/>
          <w:sz w:val="24"/>
          <w:szCs w:val="24"/>
          <w:lang w:eastAsia="hr-HR"/>
        </w:rPr>
        <w:drawing>
          <wp:inline distT="0" distB="0" distL="0" distR="0">
            <wp:extent cx="1264285" cy="158750"/>
            <wp:effectExtent l="0" t="0" r="0" b="0"/>
            <wp:docPr id="3" name="Picture 3" descr="https://narodne-novine.nn.hr/img/nn-glagoljic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narodne-novine.nn.hr/img/nn-glagoljic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4285" cy="158750"/>
                    </a:xfrm>
                    <a:prstGeom prst="rect">
                      <a:avLst/>
                    </a:prstGeom>
                    <a:noFill/>
                    <a:ln>
                      <a:noFill/>
                    </a:ln>
                  </pic:spPr>
                </pic:pic>
              </a:graphicData>
            </a:graphic>
          </wp:inline>
        </w:drawing>
      </w:r>
    </w:p>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noProof/>
          <w:color w:val="0000FF"/>
          <w:sz w:val="24"/>
          <w:szCs w:val="24"/>
          <w:lang w:eastAsia="hr-HR"/>
        </w:rPr>
        <w:drawing>
          <wp:inline distT="0" distB="0" distL="0" distR="0">
            <wp:extent cx="3673475" cy="810895"/>
            <wp:effectExtent l="0" t="0" r="3175" b="8255"/>
            <wp:docPr id="2" name="Picture 2" descr="https://narodne-novine.nn.hr/img/logo.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narodne-novine.nn.hr/img/logo.gif">
                      <a:hlinkClick r:id="rId9"/>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3475" cy="810895"/>
                    </a:xfrm>
                    <a:prstGeom prst="rect">
                      <a:avLst/>
                    </a:prstGeom>
                    <a:noFill/>
                    <a:ln>
                      <a:noFill/>
                    </a:ln>
                  </pic:spPr>
                </pic:pic>
              </a:graphicData>
            </a:graphic>
          </wp:inline>
        </w:drawing>
      </w:r>
    </w:p>
    <w:p w:rsidR="00704644" w:rsidRPr="00704644" w:rsidRDefault="00704644" w:rsidP="00704644">
      <w:pPr>
        <w:spacing w:before="100" w:beforeAutospacing="1" w:after="100" w:afterAutospacing="1" w:line="240" w:lineRule="auto"/>
        <w:outlineLvl w:val="1"/>
        <w:rPr>
          <w:rFonts w:ascii="Times New Roman" w:eastAsia="Times New Roman" w:hAnsi="Times New Roman" w:cs="Times New Roman"/>
          <w:b/>
          <w:bCs/>
          <w:sz w:val="36"/>
          <w:szCs w:val="36"/>
          <w:lang w:eastAsia="hr-HR"/>
        </w:rPr>
      </w:pPr>
      <w:r w:rsidRPr="00704644">
        <w:rPr>
          <w:rFonts w:ascii="Times New Roman" w:eastAsia="Times New Roman" w:hAnsi="Times New Roman" w:cs="Times New Roman"/>
          <w:b/>
          <w:bCs/>
          <w:sz w:val="36"/>
          <w:szCs w:val="36"/>
          <w:lang w:eastAsia="hr-HR"/>
        </w:rPr>
        <w:t xml:space="preserve">Pravilnik o provedbi </w:t>
      </w:r>
      <w:proofErr w:type="spellStart"/>
      <w:r w:rsidRPr="00704644">
        <w:rPr>
          <w:rFonts w:ascii="Times New Roman" w:eastAsia="Times New Roman" w:hAnsi="Times New Roman" w:cs="Times New Roman"/>
          <w:b/>
          <w:bCs/>
          <w:sz w:val="36"/>
          <w:szCs w:val="36"/>
          <w:lang w:eastAsia="hr-HR"/>
        </w:rPr>
        <w:t>Podmjere</w:t>
      </w:r>
      <w:proofErr w:type="spellEnd"/>
      <w:r w:rsidRPr="00704644">
        <w:rPr>
          <w:rFonts w:ascii="Times New Roman" w:eastAsia="Times New Roman" w:hAnsi="Times New Roman" w:cs="Times New Roman"/>
          <w:b/>
          <w:bCs/>
          <w:sz w:val="36"/>
          <w:szCs w:val="36"/>
          <w:lang w:eastAsia="hr-HR"/>
        </w:rPr>
        <w:t xml:space="preserve"> 19.1. "Pripremna pomoć" u okviru Mjere 19. "LEADER - CLLD" iz Programa ruralnog razvoja Republike Hrvatske za razdoblje 2014. - 2020.</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MINISTARSTVO POLJOPRIVREDE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880</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Na temelju članka 10. stavka 9., a u svezi stavaka 10. i 11. Zakona o poljoprivredi (»Narodne novine«, broj 30/2015) ministar poljoprivrede donosi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PRAVILNIK</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O PROVEDBI PODMJERE 19.1. »PRIPREMNA POMOĆ« U OKVIRU MJERE 19 »LEADER – CLLD« IZ PROGRAMA RURALNOG RAZVOJA REPUBLIKE HRVATSKE ZA RAZDOBLJE 2014. – 2020.</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I. OPĆE ODREDBE</w:t>
      </w:r>
    </w:p>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7"/>
          <w:szCs w:val="27"/>
          <w:lang w:eastAsia="hr-HR"/>
        </w:rPr>
        <w:t>Sadržaj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1.</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xml:space="preserve">Ovim se Pravilnikom uređuje provedba </w:t>
      </w:r>
      <w:proofErr w:type="spellStart"/>
      <w:r w:rsidRPr="00704644">
        <w:rPr>
          <w:rFonts w:ascii="Times New Roman" w:eastAsia="Times New Roman" w:hAnsi="Times New Roman" w:cs="Times New Roman"/>
          <w:sz w:val="24"/>
          <w:szCs w:val="24"/>
          <w:lang w:eastAsia="hr-HR"/>
        </w:rPr>
        <w:t>Podmjere</w:t>
      </w:r>
      <w:proofErr w:type="spellEnd"/>
      <w:r w:rsidRPr="00704644">
        <w:rPr>
          <w:rFonts w:ascii="Times New Roman" w:eastAsia="Times New Roman" w:hAnsi="Times New Roman" w:cs="Times New Roman"/>
          <w:sz w:val="24"/>
          <w:szCs w:val="24"/>
          <w:lang w:eastAsia="hr-HR"/>
        </w:rPr>
        <w:t xml:space="preserve"> 19.1. »Pripremna pomoć« (u daljnjem tekstu: </w:t>
      </w:r>
      <w:proofErr w:type="spellStart"/>
      <w:r w:rsidRPr="00704644">
        <w:rPr>
          <w:rFonts w:ascii="Times New Roman" w:eastAsia="Times New Roman" w:hAnsi="Times New Roman" w:cs="Times New Roman"/>
          <w:sz w:val="24"/>
          <w:szCs w:val="24"/>
          <w:lang w:eastAsia="hr-HR"/>
        </w:rPr>
        <w:t>Podmjera</w:t>
      </w:r>
      <w:proofErr w:type="spellEnd"/>
      <w:r w:rsidRPr="00704644">
        <w:rPr>
          <w:rFonts w:ascii="Times New Roman" w:eastAsia="Times New Roman" w:hAnsi="Times New Roman" w:cs="Times New Roman"/>
          <w:sz w:val="24"/>
          <w:szCs w:val="24"/>
          <w:lang w:eastAsia="hr-HR"/>
        </w:rPr>
        <w:t xml:space="preserve"> 19.1.) u okviru Mjere 19 »LEADER – CLLD« iz Programa ruralnog razvoja Republike Hrvatske za razdoblje 2014 – 2020 (u daljnjem tekstu: Program), a u skladu s člancima 42., 43. i 44. Uredbe (EU) br. 1305/2013 Europskog parlamenta i Vijeća od 17. prosinca 2013. godine o potpori ruralnom razvoju iz Europskog poljoprivrednog fonda za ruralni razvoj (EPFRR) i stavljanju izvan snage Uredbe Vijeća (EZ) br. 1698/2005 (SL L 347, 20. 12. 2013.) (u daljnjem tekstu: Uredba (EU) br. 1305/2013).</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Upravljačko tijelo i operativna provedba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2.</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(1) Upravljačko tijelo Programa u smislu članka 66. Uredbe (EU) br. 1305/2013 (u daljnjem tekstu: Upravljačko tijelo) je Ministarstvo poljoprivrede (u daljnjem tekstu: Ministarstvo), sukladno članku 10. stavku 8. Zakona o poljoprivredi.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Operativnu provedbu Programa obavlja Agencija za plaćanja u poljoprivredi, ribarstvu i ruralnom razvoju (u daljnjem tekstu: Agencija za plaćanja), sukladno članku 14. stavku 1. Zakona o poljoprivredi.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Pojmovnik</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3.</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Pojedini pojmovi u smislu ovoga Pravilnika imaju sljedeće značenje: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CLLD (</w:t>
      </w:r>
      <w:proofErr w:type="spellStart"/>
      <w:r w:rsidRPr="00704644">
        <w:rPr>
          <w:rFonts w:ascii="Times New Roman" w:eastAsia="Times New Roman" w:hAnsi="Times New Roman" w:cs="Times New Roman"/>
          <w:sz w:val="24"/>
          <w:szCs w:val="24"/>
          <w:lang w:eastAsia="hr-HR"/>
        </w:rPr>
        <w:t>eng</w:t>
      </w:r>
      <w:proofErr w:type="spellEnd"/>
      <w:r w:rsidRPr="00704644">
        <w:rPr>
          <w:rFonts w:ascii="Times New Roman" w:eastAsia="Times New Roman" w:hAnsi="Times New Roman" w:cs="Times New Roman"/>
          <w:sz w:val="24"/>
          <w:szCs w:val="24"/>
          <w:lang w:eastAsia="hr-HR"/>
        </w:rPr>
        <w:t xml:space="preserve">. </w:t>
      </w:r>
      <w:proofErr w:type="spellStart"/>
      <w:r w:rsidRPr="00704644">
        <w:rPr>
          <w:rFonts w:ascii="Times New Roman" w:eastAsia="Times New Roman" w:hAnsi="Times New Roman" w:cs="Times New Roman"/>
          <w:sz w:val="24"/>
          <w:szCs w:val="24"/>
          <w:lang w:eastAsia="hr-HR"/>
        </w:rPr>
        <w:t>Community</w:t>
      </w:r>
      <w:proofErr w:type="spellEnd"/>
      <w:r w:rsidRPr="00704644">
        <w:rPr>
          <w:rFonts w:ascii="Times New Roman" w:eastAsia="Times New Roman" w:hAnsi="Times New Roman" w:cs="Times New Roman"/>
          <w:sz w:val="24"/>
          <w:szCs w:val="24"/>
          <w:lang w:eastAsia="hr-HR"/>
        </w:rPr>
        <w:t xml:space="preserve"> Led </w:t>
      </w:r>
      <w:proofErr w:type="spellStart"/>
      <w:r w:rsidRPr="00704644">
        <w:rPr>
          <w:rFonts w:ascii="Times New Roman" w:eastAsia="Times New Roman" w:hAnsi="Times New Roman" w:cs="Times New Roman"/>
          <w:sz w:val="24"/>
          <w:szCs w:val="24"/>
          <w:lang w:eastAsia="hr-HR"/>
        </w:rPr>
        <w:t>Local</w:t>
      </w:r>
      <w:proofErr w:type="spellEnd"/>
      <w:r w:rsidRPr="00704644">
        <w:rPr>
          <w:rFonts w:ascii="Times New Roman" w:eastAsia="Times New Roman" w:hAnsi="Times New Roman" w:cs="Times New Roman"/>
          <w:sz w:val="24"/>
          <w:szCs w:val="24"/>
          <w:lang w:eastAsia="hr-HR"/>
        </w:rPr>
        <w:t xml:space="preserve"> Development – lokalni razvoj pod vodstvom zajednice) je mehanizam za uključivanje partnera na lokalnoj razini, uključujući i predstavnike civilnog društva i lokalne gospodarske dionike, u izradu i provedbu integrirane lokalne strategije koja pomaže njihovom području u prijelazu k održivoj budućnosti.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LEADER (</w:t>
      </w:r>
      <w:proofErr w:type="spellStart"/>
      <w:r w:rsidRPr="00704644">
        <w:rPr>
          <w:rFonts w:ascii="Times New Roman" w:eastAsia="Times New Roman" w:hAnsi="Times New Roman" w:cs="Times New Roman"/>
          <w:sz w:val="24"/>
          <w:szCs w:val="24"/>
          <w:lang w:eastAsia="hr-HR"/>
        </w:rPr>
        <w:t>Liaison</w:t>
      </w:r>
      <w:proofErr w:type="spellEnd"/>
      <w:r w:rsidRPr="00704644">
        <w:rPr>
          <w:rFonts w:ascii="Times New Roman" w:eastAsia="Times New Roman" w:hAnsi="Times New Roman" w:cs="Times New Roman"/>
          <w:sz w:val="24"/>
          <w:szCs w:val="24"/>
          <w:lang w:eastAsia="hr-HR"/>
        </w:rPr>
        <w:t xml:space="preserve"> </w:t>
      </w:r>
      <w:proofErr w:type="spellStart"/>
      <w:r w:rsidRPr="00704644">
        <w:rPr>
          <w:rFonts w:ascii="Times New Roman" w:eastAsia="Times New Roman" w:hAnsi="Times New Roman" w:cs="Times New Roman"/>
          <w:sz w:val="24"/>
          <w:szCs w:val="24"/>
          <w:lang w:eastAsia="hr-HR"/>
        </w:rPr>
        <w:t>Entre</w:t>
      </w:r>
      <w:proofErr w:type="spellEnd"/>
      <w:r w:rsidRPr="00704644">
        <w:rPr>
          <w:rFonts w:ascii="Times New Roman" w:eastAsia="Times New Roman" w:hAnsi="Times New Roman" w:cs="Times New Roman"/>
          <w:sz w:val="24"/>
          <w:szCs w:val="24"/>
          <w:lang w:eastAsia="hr-HR"/>
        </w:rPr>
        <w:t xml:space="preserve"> </w:t>
      </w:r>
      <w:proofErr w:type="spellStart"/>
      <w:r w:rsidRPr="00704644">
        <w:rPr>
          <w:rFonts w:ascii="Times New Roman" w:eastAsia="Times New Roman" w:hAnsi="Times New Roman" w:cs="Times New Roman"/>
          <w:sz w:val="24"/>
          <w:szCs w:val="24"/>
          <w:lang w:eastAsia="hr-HR"/>
        </w:rPr>
        <w:t>Actions</w:t>
      </w:r>
      <w:proofErr w:type="spellEnd"/>
      <w:r w:rsidRPr="00704644">
        <w:rPr>
          <w:rFonts w:ascii="Times New Roman" w:eastAsia="Times New Roman" w:hAnsi="Times New Roman" w:cs="Times New Roman"/>
          <w:sz w:val="24"/>
          <w:szCs w:val="24"/>
          <w:lang w:eastAsia="hr-HR"/>
        </w:rPr>
        <w:t xml:space="preserve"> de </w:t>
      </w:r>
      <w:proofErr w:type="spellStart"/>
      <w:r w:rsidRPr="00704644">
        <w:rPr>
          <w:rFonts w:ascii="Times New Roman" w:eastAsia="Times New Roman" w:hAnsi="Times New Roman" w:cs="Times New Roman"/>
          <w:sz w:val="24"/>
          <w:szCs w:val="24"/>
          <w:lang w:eastAsia="hr-HR"/>
        </w:rPr>
        <w:t>Développement</w:t>
      </w:r>
      <w:proofErr w:type="spellEnd"/>
      <w:r w:rsidRPr="00704644">
        <w:rPr>
          <w:rFonts w:ascii="Times New Roman" w:eastAsia="Times New Roman" w:hAnsi="Times New Roman" w:cs="Times New Roman"/>
          <w:sz w:val="24"/>
          <w:szCs w:val="24"/>
          <w:lang w:eastAsia="hr-HR"/>
        </w:rPr>
        <w:t xml:space="preserve"> de </w:t>
      </w:r>
      <w:proofErr w:type="spellStart"/>
      <w:r w:rsidRPr="00704644">
        <w:rPr>
          <w:rFonts w:ascii="Times New Roman" w:eastAsia="Times New Roman" w:hAnsi="Times New Roman" w:cs="Times New Roman"/>
          <w:sz w:val="24"/>
          <w:szCs w:val="24"/>
          <w:lang w:eastAsia="hr-HR"/>
        </w:rPr>
        <w:t>l’Economie</w:t>
      </w:r>
      <w:proofErr w:type="spellEnd"/>
      <w:r w:rsidRPr="00704644">
        <w:rPr>
          <w:rFonts w:ascii="Times New Roman" w:eastAsia="Times New Roman" w:hAnsi="Times New Roman" w:cs="Times New Roman"/>
          <w:sz w:val="24"/>
          <w:szCs w:val="24"/>
          <w:lang w:eastAsia="hr-HR"/>
        </w:rPr>
        <w:t xml:space="preserve"> </w:t>
      </w:r>
      <w:proofErr w:type="spellStart"/>
      <w:r w:rsidRPr="00704644">
        <w:rPr>
          <w:rFonts w:ascii="Times New Roman" w:eastAsia="Times New Roman" w:hAnsi="Times New Roman" w:cs="Times New Roman"/>
          <w:sz w:val="24"/>
          <w:szCs w:val="24"/>
          <w:lang w:eastAsia="hr-HR"/>
        </w:rPr>
        <w:t>Rurale</w:t>
      </w:r>
      <w:proofErr w:type="spellEnd"/>
      <w:r w:rsidRPr="00704644">
        <w:rPr>
          <w:rFonts w:ascii="Times New Roman" w:eastAsia="Times New Roman" w:hAnsi="Times New Roman" w:cs="Times New Roman"/>
          <w:sz w:val="24"/>
          <w:szCs w:val="24"/>
          <w:lang w:eastAsia="hr-HR"/>
        </w:rPr>
        <w:t xml:space="preserve"> – Veze među aktivnostima za razvoj ruralnog gospodarstva) je mehanizam provedbe mjera politike ruralnog razvoja Europske unije, a temelji se na realizaciji lokalnih razvojnih strategija kojima upravljaju lokalne akcijske grupe.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Lokalna akcijska grupa (u daljnjem tekstu: LAG) je partnerstvo predstavnika javnog, gospodarskog i civilnog sektora određenog ruralnog područja koje je osnovano s namjerom izrade i provedbe lokalne razvojne strategije tog područja, a čiji članovi mogu biti fizičke i pravne osobe.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Lokalna razvojna strategija (u daljnjem tekstu: LRS) je CLLD strategija tj. strateški plansko-razvojni dokument koji donosi i provodi LAG za područje koje obuhvaća.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Tip operacije je skup aktivnosti koje doprinose ostvarivanju ciljeva jednog ili više prioriteta Europske unije za ruralni razvoj na koje se odnose.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Prihvatljivi troškovi su troškovi koji mogu biti sufinancirani iz Programa.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Korisnik je svaki LAG koji je podnio zahtjev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xml:space="preserve">8. Odabrani korisnik je LAG koji je udovoljio uvjetima ovoga Pravilnika i natječaja za </w:t>
      </w:r>
      <w:proofErr w:type="spellStart"/>
      <w:r w:rsidRPr="00704644">
        <w:rPr>
          <w:rFonts w:ascii="Times New Roman" w:eastAsia="Times New Roman" w:hAnsi="Times New Roman" w:cs="Times New Roman"/>
          <w:sz w:val="24"/>
          <w:szCs w:val="24"/>
          <w:lang w:eastAsia="hr-HR"/>
        </w:rPr>
        <w:t>Podmjeru</w:t>
      </w:r>
      <w:proofErr w:type="spellEnd"/>
      <w:r w:rsidRPr="00704644">
        <w:rPr>
          <w:rFonts w:ascii="Times New Roman" w:eastAsia="Times New Roman" w:hAnsi="Times New Roman" w:cs="Times New Roman"/>
          <w:sz w:val="24"/>
          <w:szCs w:val="24"/>
          <w:lang w:eastAsia="hr-HR"/>
        </w:rPr>
        <w:t xml:space="preserve"> 19.1. – tip operacije 19.1.1. Pripremna pomoć (u daljnjem tekstu: Natječaj) te za kojeg je Agencija za plaćanja donijela odluku o dodijeli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9. Javna potpora je svaki oblik potpore iz javnih izvora Republike Hrvatske i proračuna Europske unije.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 Intenzitet javne potpore izražen je kao postotni udio javne potpore u prihvatljivim troškovima aktivnosti.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(2) Ostali pojmovi u smislu ovoga Pravilnika imaju jednako značenje kao pojmovi u Uredbi (EU) br. 1305/2013.</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Sastavni dijelovi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4.</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Sastavni dijelovi ovoga Pravilnika su: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Prilog I. – »Kriteriji odabira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Prilog II. – »Bodovi za izračun iznosa javne potpore unutar tipa operacije 19.1.1. Pripremna pomoć«</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Prilog III. – »Popis naselja u Republici Hrvatskoj s više od 25.000 stanovnika«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Prilog IV. – »Obvezni sadržaj i preporuke za izradu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Prilog V. – »Označavanje aktivnosti sufinanciranih iz proračuna Europske unije«.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II. VRSTA POTPORE, KORISNICI, UVJETI PRIHVATLJIVOSTI I KRITERIJI ODABIRA</w:t>
      </w:r>
    </w:p>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7"/>
          <w:szCs w:val="27"/>
          <w:lang w:eastAsia="hr-HR"/>
        </w:rPr>
        <w:t>Vrsta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5.</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xml:space="preserve">(1) Potpora u okviru Mjere 19 LEADER – CLLD, </w:t>
      </w:r>
      <w:proofErr w:type="spellStart"/>
      <w:r w:rsidRPr="00704644">
        <w:rPr>
          <w:rFonts w:ascii="Times New Roman" w:eastAsia="Times New Roman" w:hAnsi="Times New Roman" w:cs="Times New Roman"/>
          <w:sz w:val="24"/>
          <w:szCs w:val="24"/>
          <w:lang w:eastAsia="hr-HR"/>
        </w:rPr>
        <w:t>Podmjere</w:t>
      </w:r>
      <w:proofErr w:type="spellEnd"/>
      <w:r w:rsidRPr="00704644">
        <w:rPr>
          <w:rFonts w:ascii="Times New Roman" w:eastAsia="Times New Roman" w:hAnsi="Times New Roman" w:cs="Times New Roman"/>
          <w:sz w:val="24"/>
          <w:szCs w:val="24"/>
          <w:lang w:eastAsia="hr-HR"/>
        </w:rPr>
        <w:t xml:space="preserve"> 19.1. dodjeljuje se putem tipa operacije 19.1.1. Pripremna pomoć (u daljnjem tekstu: tip operacije 19.1.1.).</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Potpora se dodjeljuje u obliku bespovratnih financijskih sredstava za provođenje prihvatljivih aktivnosti unutar tipa operacije 19.1.1.</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Sredstva javne potpore osiguravaju se iz proračuna Europske unije i državnog proračuna Republike Hrvatske, od čega Europska unija sudjeluje s 90 % udjela, a Republika Hrvatska s 10 % udjela, a intenzitet javne potpore iznosi 100 % od ukupnih prihvatljivih troškova.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Javna potpora unutar tipa operacije 19.1.1. korisniku se može dodijeliti samo jednom u cijelom programskom razdoblju 2014. – 2020.</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Javna potpora može se isplatiti jednokratno ili u ratama.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Visina javne potpore po korisniku iznosi do 100.000 eura u protuvrijednosti u kunama.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Izračun iznosa javne potpore unutar tipa operacije 19.1.1. po korisniku izračunava se temeljem ostvarenog broja bodova za kriterije navedene u Prilogu II.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 U izračun javne potpore unutar tipa operacije 19.1.1. za kriterij broja stanovnika, ne ulazi broj stanovnika naselja s više od 25.000 stanovnika koja su navedena u Prilogu III.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(9) Vrijednost jednog boda iznosi 7.000 eura u protuvrijednosti u kunama za korisnike koji su ostvarili potporu iz IPARD programa, a za korisnike koji nisu ostvarili potporu iz IPARD programa iznosi 9.091 eura u protuvrijednosti u kunama.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 Potpora za aktivnosti izrade LRS iz članka 7. točke 1. može se ostvariti u razdoblju do šest mjeseci od dana zaprimanja odluke o dodjeli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xml:space="preserve">(11) Potpora za aktivnosti tekućih troškova iz članka 7. točke 2. može se ostvariti do dana zaprimanja odluke o dodjeli sredstava/odluke o odbijanju u </w:t>
      </w:r>
      <w:proofErr w:type="spellStart"/>
      <w:r w:rsidRPr="00704644">
        <w:rPr>
          <w:rFonts w:ascii="Times New Roman" w:eastAsia="Times New Roman" w:hAnsi="Times New Roman" w:cs="Times New Roman"/>
          <w:sz w:val="24"/>
          <w:szCs w:val="24"/>
          <w:lang w:eastAsia="hr-HR"/>
        </w:rPr>
        <w:t>Podmjeri</w:t>
      </w:r>
      <w:proofErr w:type="spellEnd"/>
      <w:r w:rsidRPr="00704644">
        <w:rPr>
          <w:rFonts w:ascii="Times New Roman" w:eastAsia="Times New Roman" w:hAnsi="Times New Roman" w:cs="Times New Roman"/>
          <w:sz w:val="24"/>
          <w:szCs w:val="24"/>
          <w:lang w:eastAsia="hr-HR"/>
        </w:rPr>
        <w:t xml:space="preserve"> 19.2 unutar Mjere 19 LEADER – CLLD, odnosno ne duže od 30. listopada 2016.</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Prihvatljivi korisnici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6.</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Prihvatljivi korisnici su LAG-ovi sukladno definiciji iz članka 3. stavka 1. točke 3.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Prihvatljive aktivnosti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7.</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Prihvatljive aktivnosti unutar tipa operacije 19.1.1. su: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izrada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tekući troškovi.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Za korisnike koji su ostvarili potporu iz IPARD programa tekući troškovi iz stavka 1. točke 2. ovoga članka prihvatljivi su tek nakon isteka razdoblja od 2 godine od dana potpisa IPARD ugovora.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Uvjeti prihvatljivosti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8.</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Za ostvarivanje prava na dodjelu potpore moraju biti ispunjeni sljedeći uvjeti: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korisnik mora biti registriran kao udruga sukladno Zakonu o udrugama,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korisnik mora obuhvaćati ruralno područje s više od 10.000, a manje od 150.000 stanovnika,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korisnik mora obuhvaćati jasno definirano i zemljopisno kontinuirano područje te stanovnike jednog ili više naselja unutar najmanje pet jedinica lokalne samouprave,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naselja, tj. jedinice lokalne samouprave, u sastavu korisnika moraju biti međusobno izravno povezani bilo kopnom, morem ili vodom,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jedno naselje može pripadati isključivo jednom korisniku,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6. sjedište korisnika mora se nalaziti unutar područja koje obuhvaća korisnik,</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u upravnom (izvršnom) tijelu korisnika moraju sudjelovati: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predstavnici gospodarskog (kao što su trgovačka društva koja nisu u većinskom vlasništvu Republike Hrvatske i/ili regionalne/područne i/ili lokalne samouprave, zadruge, obrtnici, poljoprivredna gospodarstva) i civilnog sektora (kao što su građani, udruge, zaklade, fondacije) s najmanje 50 % zastupljenosti,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predstavnici izvršnog ili upravnog tijela jedinica lokalne samouprave kojoj pripadaju naselja korisnika s najmanje 20 % zastupljenosti,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žene s najmanje 30 % zastupljenosti,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 članovi upravljačke strukture korisnika moraju imati prebivalište ili biti registrirani ili imati podružnicu unutar područja koje obuhvaća korisnik,</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9. javni, gospodarski ili civilni sektor unutar upravnog (izvršnog) tijela korisnika pojedinačno ne smije posjedovati više od 49 % glasačkih prava, u skladu s člankom 32.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 korisnik prilikom podnošenja zahtjeva za potporu mora imati podmirene odnosno regulirane financijske obveze prema državnom proračunu Republike Hrvatske,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11. korisnik ne smije imati izrađenu LRS za razdoblje 2014. – 2020.</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Prihvatljivost troškova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9.</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Aktivnosti ne smiju započeti prije dana podnošenja zahtjeva za potporu sukladno članku 11. stavku 11.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Za utvrđivanje broja stanovnika jedinica lokalne samouprave odnosno naselja u sastavu korisnika, koristit će se podaci Državnog zavoda za statistiku o broju stanovnika iz 2011. godine.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Korisnik nakon isteka šest mjeseci od dana zaprimanja odluke o dodjeli sredstava, mora u roku od 30 dana, osobno ili preporučenom pošiljkom s povratnicom na CD-u/DVD-u dostaviti LRS za razdoblje 2014 – 2020 kao i odluku upravnog (izvršnog) tijela o usvajanju LRS datiranu prije isteka razdoblja od šest mjeseci od dana zaprimanja odluke o dodjeli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Obvezni sadržaj LRS i preporuke za izradu LRS prikazani su u Prilogu IV.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(5) Neprihvatljivi troškovi za sufinanciranje unutar tipa operacije 19.1.1 su: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a) porez na dodanu vrijednost (u daljnjem tekstu: PDV) u slučaju da je korisnik porezni obveznik upisan u registar obveznika PDV-a te ima pravo na odbitak PDV-a,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 drugi porezi, naknade, pristojbe i doprinosi osim prihvatljivih naknada i pristojbi kod putovanja i smještaja, javnog bilježnika, biljega, poštarina, doprinosa iz i na plaće zaposlenika, naknade prijevoza na i s posla,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c) kamate i tečajne razlike,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d) rabljeni strojevi i oprema,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e) vozila,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xml:space="preserve">f) troškovi vezani uz ugovor o </w:t>
      </w:r>
      <w:proofErr w:type="spellStart"/>
      <w:r w:rsidRPr="00704644">
        <w:rPr>
          <w:rFonts w:ascii="Times New Roman" w:eastAsia="Times New Roman" w:hAnsi="Times New Roman" w:cs="Times New Roman"/>
          <w:sz w:val="24"/>
          <w:szCs w:val="24"/>
          <w:lang w:eastAsia="hr-HR"/>
        </w:rPr>
        <w:t>leasingu</w:t>
      </w:r>
      <w:proofErr w:type="spellEnd"/>
      <w:r w:rsidRPr="00704644">
        <w:rPr>
          <w:rFonts w:ascii="Times New Roman" w:eastAsia="Times New Roman" w:hAnsi="Times New Roman" w:cs="Times New Roman"/>
          <w:sz w:val="24"/>
          <w:szCs w:val="24"/>
          <w:lang w:eastAsia="hr-HR"/>
        </w:rPr>
        <w:t xml:space="preserve">, kao što su marža davatelja </w:t>
      </w:r>
      <w:proofErr w:type="spellStart"/>
      <w:r w:rsidRPr="00704644">
        <w:rPr>
          <w:rFonts w:ascii="Times New Roman" w:eastAsia="Times New Roman" w:hAnsi="Times New Roman" w:cs="Times New Roman"/>
          <w:sz w:val="24"/>
          <w:szCs w:val="24"/>
          <w:lang w:eastAsia="hr-HR"/>
        </w:rPr>
        <w:t>leasinga</w:t>
      </w:r>
      <w:proofErr w:type="spellEnd"/>
      <w:r w:rsidRPr="00704644">
        <w:rPr>
          <w:rFonts w:ascii="Times New Roman" w:eastAsia="Times New Roman" w:hAnsi="Times New Roman" w:cs="Times New Roman"/>
          <w:sz w:val="24"/>
          <w:szCs w:val="24"/>
          <w:lang w:eastAsia="hr-HR"/>
        </w:rPr>
        <w:t>, troškovi refinanciranja kamata i amortizacija,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g) troškovi jamstva i slične naknade,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h) novčane kazne, financijske kazne te troškovi parničnog i upravnog postupka,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i) troškovi nastali prije dana podnošenja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j) pojedina nabava robe ili usluga čija procijenjena protuvrijednost prelazi 200.000,00 kuna odnosno radovi čija vrijednost prelazi 500.000,00 kuna.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Preračun tečaja eura u kune obavlja se prema mjesečnom tečaju eura utvrđenom od Europske komisije za mjesec u kojem je podnesen zahtjev za potporu objavljenom na mrežnoj stranici Europske komisije: http://ec.europa.eu/budget/inforeuro/.</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Kriteriji odabira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10.</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Kriteriji odabira koji se primjenjuju na sve podnijete zahtjeve za potporu određeni su u Prilogu I.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Kriterije odabira iz stavka 1. ovoga članka prethodno odobrava Odbor za praćenje ili Privremeni Odbor za praćenje Programa ruralnog razvoja Republike Hrvatske za razdoblje 2014. – 2020.</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Da bi aktivnost bila prihvatljiva za dodjelu potpore, korisnik mora imati minimalan broj bodova sukladno Prilogu I.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III. ZAHTJEV ZA POTPORU, POSTUPAK OBRADE I DONOŠENJE ODLUKA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Podnošenje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11.</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(1) Zahtjev za potporu se podnosi temeljem Natječaja kojeg raspisuje Agencija za plaćanja.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Natječaj iz stavka 1. ovoga članka objavljuje se u »Narodnim novinama« i na mrežnim stranicama Agencije za plaćanja (www.apprrr.hr) i Ministarstva (www.mps.hr).</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Natječajem iz stavka 1. ovoga članka određuju se rokovi i uvjeti za podnošenje zahtjeva za potporu za dodjelu sredstava iz Europskog poljoprivrednog fonda za ruralni razvoj, Mjera 19.</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xml:space="preserve">(4) Zahtjev za potporu korisnik popunjava u elektronskom obliku putem AGRONET sustava (u daljnjem tekstu: AGRONET). Način podnošenja zahtjeva za potporu pojašnjen je u Vodiču za korisnike potpora iz EPFRR </w:t>
      </w:r>
      <w:proofErr w:type="spellStart"/>
      <w:r w:rsidRPr="00704644">
        <w:rPr>
          <w:rFonts w:ascii="Times New Roman" w:eastAsia="Times New Roman" w:hAnsi="Times New Roman" w:cs="Times New Roman"/>
          <w:sz w:val="24"/>
          <w:szCs w:val="24"/>
          <w:lang w:eastAsia="hr-HR"/>
        </w:rPr>
        <w:t>Podmjera</w:t>
      </w:r>
      <w:proofErr w:type="spellEnd"/>
      <w:r w:rsidRPr="00704644">
        <w:rPr>
          <w:rFonts w:ascii="Times New Roman" w:eastAsia="Times New Roman" w:hAnsi="Times New Roman" w:cs="Times New Roman"/>
          <w:sz w:val="24"/>
          <w:szCs w:val="24"/>
          <w:lang w:eastAsia="hr-HR"/>
        </w:rPr>
        <w:t xml:space="preserve"> 19.1. »Pripremna pomoć« (u daljnjem tekstu: Vodič za korisnike), koji se nalazi na mrežnim stranicama Agencije za plaćanja (www.apprrr.hr).</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AGRONET je zaštićena mrežna aplikacija namijenjena korisnicima za upis u Evidenciju korisnika potpora u ruralnom razvoju i ribarstvu (u daljnjem tekstu: Evidencija korisnika), pregled uputa za korištenje AGRONET-a, pregled pravne osnove, elektronsko popunjavanje zahtjeva za potporu/promjenu/isplatu/odustajanje te za preuzimanje sljedećih dokumenata: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odluka o dodjeli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odluka o privremenoj raspodjeli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odluka o odbijanju,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izmjena odluke o dodjeli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pismo odbijanja,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potvrda o odustajanju,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odluka o isplati,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 odluka o odbijanju zahtjeva za isplatu.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Korisnik mora biti upisan u Evidenciji korisnika kako bi mu Agencija za plaćanja dodijelila korisničko ime i zaporku kojima se prijavljuje u AGRONET.</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Upute za upis u Evidenciju korisnika i za korištenje AGRONET-a bit će dostupne na mrežnim stranicama Agencije za plaćanja (www.apprrr.hr).</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 Prilikom podnošenja zahtjeva za potporu korisnici su obavezni učitati u AGRONET svu dokumentaciju propisanu Natječajem. Dokumentacija koju je obvezno dostaviti u izvorniku propisuje se Natječajem.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(9) Po završetku elektronskog popunjavanja zahtjeva za potporu u AGRONET-u, korisnik je dužan u roku propisanom Natječajem dostaviti preporučenom pošiljkom s povratnicom ili osobno, potpisanu i potvrđenu štambiljem korisnika potvrdu o podnošenju zahtjeva za potporu u papirnatom obliku.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(10) Potvrda iz stavka 9. ovoga članka dostavlja se na adresu koja će biti propisana Natječajem.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(11) Vrijeme podnošenja zahtjeva za potporu podrazumijeva dan slanja (datum, sat, minuta, sekunda) potvrde o podnošenju zahtjeva za potporu u slučaju slanja preporučenom pošiljkom s povratnicom ili dan zaprimanja u Agenciju za plaćanja ukoliko se dostavlja osobno.</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Administrativna kontrola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12.</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Zahtjevi za potporu pristigli po objavljenom Natječaju iz članka 11. ovoga Pravilnika, obrađuju se po redoslijedu zaprimanja.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Prilikom administrativne kontrole zahtjeva za potporu utvrđuje se pravovremenost, potpunost, udovoljavanje propisanim uvjetima i kriterijima, broj bodova sukladno kriterijima odabira te iznos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Nakon administrativne kontrole zahtjeva za potporu izradit će se rang-lista na način propisan člankom 13.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Nepravovremeni zahtjevi za potporu ne razmatraju se te Agencija za plaćanja donosi odluku o odbijanju.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Ukoliko je potrebno tražiti dodatna obrazloženja/ispravke, Agencija za plaćanja će putem elektroničke pošte od korisnika tražiti obrazloženje/ispravak. Korisnik je dužan u roku od pet radnih dana od slanja elektroničke pošte od strane Agencije za plaćanja dostaviti obrazloženje/ispravak.</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Ukoliko korisnik traženo obrazloženje/ispravak ne dostavi sukladno stavku 5. ovoga članka, Agencija za plaćanja donosi odluku o odbijanju.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Natječajem će biti propisana dokumentacija koju je korisnik obavezan učitati uz zahtjev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 Ukoliko korisnik uz zahtjev za potporu ne učita dokumentaciju propisanu Natječajem, Agencija za plaćanja će donijeti odluku o odbijanju.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Rangiranje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13.</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Nakon zaprimanja zahtjeva za potporu, zahtjevima se dodjeljuju bodovi temeljem kriterija odabira zahtjeva za potporu iz Priloga I.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Ukoliko korisnik prilikom podnošenja zahtjeva za potporu ne učita dokumentaciju na temelju koje se dodjeljuju bodovi sukladno kriterijima odabira, zahtjevu se neće dodijeliti bodovi za određeni kriterij odabira što će rezultirati manjim ukupnim brojem bodova.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(3) Nakon administrativne kontrole pristiglih zahtjeva za potporu, za sve potpune, pravovremene i prihvatljive zahtjeve za potporu formira se rang-lista sukladno kriterijima odabira zahtjeva za potporu koji su navedeni u Prilogu I. ovoga Pravilnika i čine njegov sastavni dio.</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U slučaju da dva ili više zahtjeva za potporu imaju isti broj bodova prednost na rang-listi imaju zahtjevi s ranijim danom podnošenja zahtjeva za potporu na Natječaj (datum, sat, minuta, sekunda).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Ukoliko dva ili više zahtjeva za potporu imaju jednaki broj bodova i dan podnošenja zahtjeva za potporu, a navedeno uvjetuje dodjelu potpore, provest će se postupak izvlačenja slučajnim odabirom u prisutnosti javnog bilježnika.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Donošenje odluka u slučaju dovoljno raspoloživih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14.</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U slučaju kada se nakon zaprimanja svih zahtjeva za potporu i provjere ukupnog traženog iznosa potpore utvrdi da ima dovoljno raspoloživih sredstava, Agencija za plaćanja će donijeti odluke nakon završetka administrativne kontrole svakoga pojedinačnog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Agencija za plaćanja će nakon obrade zahtjeva za potporu donijeti: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Odluku o dodjeli sredstava u slučaju ispunjavanja uvjeta i kriterija propisanih ovim Pravilnikom i Natječajem ili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Odluku o odbijanju u slučaju: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neispunjavanja uvjeta i kriterija propisanih Pravilnikom i Natječajem,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nepravovremeno podnesenih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nepotpunih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nepravovremeno dostavljenih i/ili nepotpunih odgovora na zahtjev za obrazloženje/ ispravak,</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da su aktivnosti započele prije podnošenja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utvrđene nepravilnosti,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sprječavanja posjeta ulaganju predstavnicima Agencije za plaćanja od strane korisnika.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U slučaju donošenja odluka kako je navedeno u stavku 2. ovoga članka, rang-lista će se izraditi nakon provedenog postupka odlučivanja po prigovoru.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Donošenje odluka u slučaju da nema dovoljno raspoloživih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15.</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(1) U slučaju kada se nakon zaprimanja svih zahtjeva za potporu i provjere ukupnog traženog iznosa potpore utvrdi da nema dovoljno raspoloživih sredstava za sve korisnike, Agencija za plaćanja će donijeti odluke nakon završetka administrativne kontrole svih zaprimljenih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Agencija za plaćanja će nakon obrade zahtjeva za potporu donijeti: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Odluku o privremenoj raspodjeli sredstava, u slučaju ispunjavanja uvjeta i kriterija propisanih ovim Pravilnikom i Natječajem ili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Odluku o odbijanju sukladno razlozima navedenim u članku 14. stavak 2. točka 2.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Odlukom o privremenoj raspodijeli sredstava iz stavka 2. točke 1. ovoga članka definira se privremena raspodjela ukupno raspoloživih sredstava po korisnicima za sve korisnike koji udovoljavaju uvjetima i kriterijima ovog Pravilnika i Natječaja, neovisno o ostvarenom broju bodova i poziciji na rang-listi.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Rang-lista iz stavka 3. ovoga članka je privremena i sastavni je dio odluka iz stavka 2. točke 1. ovoga članka.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Završetkom postupka odlučivanja po prigovoru na odluke iz stavka 2. ovoga članka i prema potrebi ponovne administrativne kontrole zahtjeva za potporu nakon usvojenih prigovora, formirat će se konačna rang-lista temeljem koje će Agencija za plaćanja donijeti konačne odluke kako slijedi: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Odluku o dodjeli sredstava u slučaju ispunjavanja uvjeta i kriterija propisanih ovim Pravilnikom i Natječajem;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Odluku o odbijanju sukladno razlozima navedenim u članku 14. stavak 2. točka 2. ovoga Pravilnika i radi nedostatnosti raspoloživih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Rang-lista iz stavka 5. ovog članka je konačna i sastavni je dio konačne odluke iz stavka 5. točke 1. ovoga članka i odluke o odbijanu radi nedostatnosti raspoloživih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Odlukom iz stavka 5. točke 1. ovoga članka utvrđuju se: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prihvatljivi troškovi,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najviši iznos javne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obveze korisnika propisane ovim Pravilnikom: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čuvanje dokumentacije koja se odnosi na dodjelu sredstava iz EPFRR programa pet godina od dana konačne isplate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dostava LRS za razdoblje 2014. – 2020. u roku i na način naveden u članku 9. stavku 3.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 zabrana promjene vlasništva nad opremom, davanja u zakup ili najam predmeta aktivnosti ili premještanja sufinancirane aktivnosti od dana stupanja na snagu odluke o dodjeli sredstava i tijekom sljedećih pet godina od dana konačne isplate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zabrana promjene namjene i vrste aktivnosti za koje se korisniku odobravaju sredstva sljedećih pet godina od dana konačne isplate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informiranje javnosti o potpori sukladno EU zakonodavstvu,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dokumentacija koja se odnosi na plaćanje prihvatljivih troškova mora biti datirana nakon dana podnošenja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u svakom trenutku osigurati nesmetani pristup i kontrolu na terenu koja se odnosi na potporu te dati na uvid cjelokupnu dokumentaciju vezanu za sufinancirane troškove predstavnicima Agencije za plaćanja, Ministarstva, Agencije za reviziju sustava provedbe programa Europske unije (u daljnjem tekstu: ARPA), Europske komisije, Europskog revizorskog suda i Europskog ureda za borbu protiv prijevara (u daljnjem tekstu: OLAF),</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zabrana prekoračenja najvećeg dozvoljenog iznosa javne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izvještavanje Agencije za plaćanja u pisanom obliku o bilo kojoj situaciji postojanja sukoba interesa između korisnika s jedne strane i ponuditelja s druge strane u razdoblju od dana stupanja na snagu odluke o dodjeli sredstava i tijekom sljedećih pet godina od dana konačne isplate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podnošenja obveznog konačnog zahtjeva za isplatu, kada odabranom korisniku prestane mogućnost ostvarivanja potpore iz članka 7., točke 2. ovoga Pravilnika, a sukladno članku 5. stavku 11. ovoga Pravilnika, i ostale potrebne dokumentacije propisane natječajem,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osigurati dokaze (fotografije, potpisne liste i dr.) o provedbi aktivnosti unutar tipa operacije 19.1.1. nakon dana podnošenja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dopustiti posjet ulaganju od strane predstavnika Agencije za plaćanja, Ministarstva, Agencije za reviziju sustava provedbe programa Europske unije (u daljnjem tekstu: ARPA), Europske komisije, Europskog revizorskog suda i Europskog ureda za borbu protiv prijevara (u daljnjem tekstu: OLAF),</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osigurati da svi podaci i informacije dostavljeni Agenciji za plaćanja budu točni,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dostaviti Agenciji za plaćanja sve potrebne podatke koje Agencija za plaćanja zatraži,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zabrana poduzimanja radnji koje bi mogle dovesti do neispunjavanja uvjeta prihvatljivosti navedenih u članku 9.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prijaviti Agenciji za plaćanja promjene podataka koje se odnose na podneseni zahtjev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zabrana poduzimanja radnji koje bi mogle dovesti do dvostrukog financiranja istih troškova iz proračuna EU.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(8) Za provedbu stavka 7. točke 3. alineje 5 ovoga članka korisnik će provesti obvezu informiranja javnosti o potpori sukladno Prilogu V.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Promjene podataka o korisniku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16.</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Promjene podataka o korisniku podrazumijevaju promjene podataka koji se nalaze u Evidenciji korisnika.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Promjene iz stavka 1. ovoga članka korisnik podnosi putem AGRONET-a sukladno Vodiču za upis u Evidenciju korisnika, kojeg korisnik može preuzeti sa službene mrežne stranice Agencije za plaćanja (www.apprrr.hr).</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Korisnik mora obavijestiti Agenciju za plaćanja o promjenama navedenim u stavku 1. ovoga članka neposredno nakon pojave događaja koji ih je izazvao.</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Po odobrenju/odbijanju zahtjeva za promjenu podataka u Evidenciji korisnika, Agencija za plaćanja će korisniku poslati putem elektronske pošte obavijest da su promjene izvršene/nisu izvršene.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Promjene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17.</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Promjene zahtjeva za potporu podrazumijevaju promjenu podataka koji se odnose na podneseni zahtjev za potporu, a isti su temelj za provjeru kriterija prihvatljivosti sukladno članku 8. ovoga Pravilnika, izuzev promjena navedenih u članku 16.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Za promjene iz stavka 1. ovoga članka korisnik je dužan od dana stupanja na snagu odluke o dodjeli sredstava do podnošenja zahtjeva za isplatu Agenciji za plaćanja podnijeti zahtjev za promjenu neposredno nakon njihovog nastanka. Zahtjev za promjenu popunjava se u AGRONET-u, a po popunjavanju potrebno je u Agenciju za plaćanja dostaviti potpisanu i potvrđenu štambiljem korisnika potvrdu o podnošenju zahtjeva za promjenu preporučenom poštom s povratnicom ili osobno.</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Agencija za plaćanja će za zaprimljene zahtjeve za promjenu provjeriti kriterije prihvatljivosti sukladno članku 8. ovoga Pravilnika te po potrebi donijeti izmjenu odluke o dodjeli sredstava ili pismo odobrenja u slučaju odobrenja zahtjeva za promjenu ili pismo odbijanja u slučaju odbijanja zahtjeva za promjenu.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xml:space="preserve">(4) Izmjenom odluke o dodjeli sredstava ne može se </w:t>
      </w:r>
      <w:proofErr w:type="spellStart"/>
      <w:r w:rsidRPr="00704644">
        <w:rPr>
          <w:rFonts w:ascii="Times New Roman" w:eastAsia="Times New Roman" w:hAnsi="Times New Roman" w:cs="Times New Roman"/>
          <w:sz w:val="24"/>
          <w:szCs w:val="24"/>
          <w:lang w:eastAsia="hr-HR"/>
        </w:rPr>
        <w:t>dodjeliti</w:t>
      </w:r>
      <w:proofErr w:type="spellEnd"/>
      <w:r w:rsidRPr="00704644">
        <w:rPr>
          <w:rFonts w:ascii="Times New Roman" w:eastAsia="Times New Roman" w:hAnsi="Times New Roman" w:cs="Times New Roman"/>
          <w:sz w:val="24"/>
          <w:szCs w:val="24"/>
          <w:lang w:eastAsia="hr-HR"/>
        </w:rPr>
        <w:t xml:space="preserve"> iznos potpore veći od iznosa potpore koji je već određen odlukom o dodjeli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Promjene iz stavka 1. ovoga članka korisnik može prijaviti podnošenjem zahtjeva za promjenu putem AGRONET-a na način opisan u Vodiču za korisnike kojeg korisnik može preuzeti sa službene mrežne stranice Agencije za plaćanja (www.apprrr.hr).</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U slučaju promjena odluke iniciranih od strane Agencije za plaćanja, Agencija za plaćanja će donijeti izmjenu odluke o dodjeli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 xml:space="preserve">(7) U slučaju promjena navedenih u stavku 1. ovoga članka, a nakon podnošenja zahtjeva za isplatu korisnik je obvezan o istome pisanim putem obavijestiti Agenciju za plaćanja do trenutka zaprimanja odluke o dodjeli sredstava u </w:t>
      </w:r>
      <w:proofErr w:type="spellStart"/>
      <w:r w:rsidRPr="00704644">
        <w:rPr>
          <w:rFonts w:ascii="Times New Roman" w:eastAsia="Times New Roman" w:hAnsi="Times New Roman" w:cs="Times New Roman"/>
          <w:sz w:val="24"/>
          <w:szCs w:val="24"/>
          <w:lang w:eastAsia="hr-HR"/>
        </w:rPr>
        <w:t>Podmjeri</w:t>
      </w:r>
      <w:proofErr w:type="spellEnd"/>
      <w:r w:rsidRPr="00704644">
        <w:rPr>
          <w:rFonts w:ascii="Times New Roman" w:eastAsia="Times New Roman" w:hAnsi="Times New Roman" w:cs="Times New Roman"/>
          <w:sz w:val="24"/>
          <w:szCs w:val="24"/>
          <w:lang w:eastAsia="hr-HR"/>
        </w:rPr>
        <w:t xml:space="preserve"> 19.2 unutar Mjere 19 LEADER – CLLD, odnosno, u slučaju LAG-ova koji nisu odabrani unutar </w:t>
      </w:r>
      <w:proofErr w:type="spellStart"/>
      <w:r w:rsidRPr="00704644">
        <w:rPr>
          <w:rFonts w:ascii="Times New Roman" w:eastAsia="Times New Roman" w:hAnsi="Times New Roman" w:cs="Times New Roman"/>
          <w:sz w:val="24"/>
          <w:szCs w:val="24"/>
          <w:lang w:eastAsia="hr-HR"/>
        </w:rPr>
        <w:t>Podmjere</w:t>
      </w:r>
      <w:proofErr w:type="spellEnd"/>
      <w:r w:rsidRPr="00704644">
        <w:rPr>
          <w:rFonts w:ascii="Times New Roman" w:eastAsia="Times New Roman" w:hAnsi="Times New Roman" w:cs="Times New Roman"/>
          <w:sz w:val="24"/>
          <w:szCs w:val="24"/>
          <w:lang w:eastAsia="hr-HR"/>
        </w:rPr>
        <w:t xml:space="preserve"> 19.2, do isteka pet godina od dana konačne isplate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Potvrda o odustajanju i izjava o poništenju obveze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18.</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U slučaju da korisnik želi odustati od dodjele sredstava iz EPFRR programa, dužan je podnijeti zahtjev za odustajanje putem AGRONET-a na način opisan u Vodiču za korisnike.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Zahtjev za odustajanje popunjava se u AGRONET-u, a po popunjavanju potrebno je u Agenciju za plaćanja dostaviti potpisanu i potvrđenu štambiljem korisnika potvrdu o podnošenju Zahtjeva za odustajanje preporučenom poštom s povratnicom ili osobno.</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Ukoliko korisnik podnese zahtjev za odustajanje u fazi administrativne kontrole zahtjeva za potporu odnosno prije donošenja odluke, Agencija za plaćanja će prekinuti sve aktivnosti nad zahtjevom za potporu te će donijeti potvrdu o odustajanju.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Ukoliko korisnik podnese zahtjev za odustajanje nakon donošenja odluke o dodjeli sredstava, Agencija za plaćanja će donijeti izjavu o poništenju obveze.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Agencija za plaćanja će za zahtjev za odustajanje podnesen od strane korisnika sukladno stavku 4. ovoga članka donijeti izjavu o poništenju obveze putem AGRONET-a.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Izjava o poništenju obveze se donosi i u slučaju kada korisnik prekrši odredbe propisane ovim Pravilnikom, Natječajem ili nije ispunio obveze određene odlukom o dodjeli sredstava ili ako je utvrđena nepravilnost ujedno i sumnja na prijevaru.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IV. ZAHTJEV ZA ISPLATU, POSTUPAK OBRADE I DONOŠENJE ODLUKA</w:t>
      </w:r>
    </w:p>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7"/>
          <w:szCs w:val="27"/>
          <w:lang w:eastAsia="hr-HR"/>
        </w:rPr>
        <w:t>Zahtjev za isplatu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19.</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Potpora se odabranom korisniku isplaćuje temeljem zahtjeva za isplatu.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Odabrani korisnik može svaka tri mjeseca dostaviti Agenciji za plaćanja zahtjev za isplatu u elektronskom obliku putem AGRONET-a koji se nalazi na mrežnim stranicama Agencije za plaćanja ((www.apprrr.hr).</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Rokovi navedeni u stavku 2. ovoga članka ne odnose se na: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Zahtjev za isplatu za prvo obračunsko razdoblje 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Zahtjev za isplatu za zadnje obračunsko razdoblje (odnosno kada odabranom korisniku prestane mogućnost ostvarivanja potpore iz članka 7., točke 2. ovoga Pravilnika, a sukladno članku 5. stavku 11.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(4) Obavezni zahtjev za isplatu, kojega odabrani korisnik mora podnijeti, je konačni zahtjev za isplatu, odnosno kada odabranom korisniku prestane mogućnost ostvarivanja potpore iz članka 7., točke 2. ovoga Pravilnika, a sukladno članku 5. stavku 11.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Prvo obračunsko razdoblje za isplatu sredstava počinje teći od dana podnošenja zahtjeva za potporu i traje do dana zaprimanja odluke o odabiru. Svako sljedeće obračunsko razdoblje, osim kod konačnog zahtjeva za isplatu, počinje teći istekom prethodnog i traje tri mjeseca.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Odabrani korisnik podnosi zahtjev za isplatu u roku do 30 dana nakon dana završetka obračunskog razdoblja.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Odabrani korisnik nakon završenog obračunskog razdoblja dostavlja zahtjev za isplatu u elektronskom obliku putem AGRONET-a koji se nalazi na mrežnim stranicama Agencije za plaćanja (www.apprrr.hr). Način podnošenja zahtjeva za isplatu opisan je u Vodiču za korisnike.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 Prilikom podnošenja zahtjeva za isplatu odabrani korisnik obvezan je učitati u AGRONET svu dokumentaciju propisanu Natječajem. Dokumentacija koju je obvezno dostaviti i u izvorniku propisuje se Natječajem.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(9) Nakon podnošenja elektronskog zahtjeva za isplatu u AGRONET-u, odabrani korisnik je dužan u roku propisanim ovim Pravilnikom osobno ili preporučenom pošiljkom s povratnicom dostaviti ovjerenu potvrdu o podnošenju zahtjeva za isplatu, zajedno s propisanom dokumentacijom u izvorniku u papirnatom obliku na adresu Agencije za plaćanja.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 Zahtjev za isplatu podrazumijeva potvrdu o podnošenju zahtjeva za isplatu te svu dokumentaciju propisanu Natječajem, pri čemu se kao dan podnošenja zahtjeva za isplatu smatra datum i sat slanja dokumentacije u slučaju slanja preporučenom pošiljkom s povratnicom ili datum i sat zaprimanja u Agenciju za plaćanja ukoliko se dostavlja osobno.</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Postupak obrade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20.</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Zahtjev za isplatu treba sadržavati sve račune/odgovarajuće dokumente, a svi priloženi računi/odgovarajući dokumenti moraju biti plaćeni u cijelosti.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Svi priloženi računi/odgovarajući dokumenti moraju sadržavati samo troškove koji su navedeni u listi prihvatljivih troškova propisanoj Natječajem.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xml:space="preserve">(3) Svi troškovi koji se podnose u zahtjevu za isplatu moraju nastati nakon dana podnošenja zahtjeva za potporu. Zahtjev za isplatu ne može sadržavati troškove nastale u obračunskim razdobljima za koji je prethodno već </w:t>
      </w:r>
      <w:proofErr w:type="spellStart"/>
      <w:r w:rsidRPr="00704644">
        <w:rPr>
          <w:rFonts w:ascii="Times New Roman" w:eastAsia="Times New Roman" w:hAnsi="Times New Roman" w:cs="Times New Roman"/>
          <w:sz w:val="24"/>
          <w:szCs w:val="24"/>
          <w:lang w:eastAsia="hr-HR"/>
        </w:rPr>
        <w:t>podnešen</w:t>
      </w:r>
      <w:proofErr w:type="spellEnd"/>
      <w:r w:rsidRPr="00704644">
        <w:rPr>
          <w:rFonts w:ascii="Times New Roman" w:eastAsia="Times New Roman" w:hAnsi="Times New Roman" w:cs="Times New Roman"/>
          <w:sz w:val="24"/>
          <w:szCs w:val="24"/>
          <w:lang w:eastAsia="hr-HR"/>
        </w:rPr>
        <w:t xml:space="preserve"> zahtjev za isplatu.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Svi troškovi koji se podnose u zahtjevu za isplatu moraju biti plaćeni u cijelosti.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Odabrani korisnik prije podnošenja konačnog zahtjeva za isplatu mora imati podmirene financijske obveze prema državnom proračunu Republike Hrvatske.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(6) Odabranom korisniku ne može se isplatiti ukupna potpora u iznosu višem od iznosa navedenoga u odluci o dodjeli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Ukoliko odabrani korisnik u zahtjevima za isplatu navede iznos koji je viši od prihvatljivog iznosa potpore, Agencija za plaćanja može umanjiti iznos za isplatu.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 Odabrani korisnik je dužan uz zahtjev za isplatu dostaviti izjavu da mu nisu dodijeljena bespovratna sredstva za iste prihvatljive troškove, u okviru tipa operacije 19.1.1. za koju je podnio zahtjev za isplatu, od strane središnjih tijela državne uprave, jedinica lokalne i područne (regionalne) samouprave, te svake pravne osobe koja dodjeljuje državne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(9) Agencija za plaćanja donijet će odluku o isplati u kojoj će ukupan iznos biti umanjen za iznos dodijeljenih bespovratnih sredstva za iste prihvatljive troškove sukladno stavku 8. ovoga članka.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 Odabrani korisnik je dužan uz zahtjev za isplatu poslati izjavu o bilo kojoj situaciji postojanja sukoba interesa između članova upravnog (izvršnog) tijela korisnika (osoba koji su imenom i prezimenom članovi upravnog (izvršnog) tijela kao i organizacija čiji su oni predstavnici u upravnom (izvršnom) tijelu) i odabranog dobavljača, pri čemu se pod pojmom »dobavljač« smatra poslovni subjekt od kojeg je nabavljena roba ili usluga, odnosno pravna ili fizička osoba od koje je odabrani korisnik kupio robu ili uslugu za koju traži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(11) Agencija za plaćanja će donijeti odluku o isplati u kojoj će ukupan iznos biti umanjen za iznos za koji se utvrdi sukob interesa sukladno stavku 10. ovoga članka.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(12) Odabranom korisniku se ne mogu odobriti troškovi za aktivnosti izrade LRS iz članka 7., točke 1. ovoga Pravilnika nakon dana donošenja odluke upravnog (izvršnog) tijela o usvajanju LRS, a najkasnije nakon isteka razdoblja od šest mjeseci od dana zaprimanja odluke o dodjeli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(13) Odabrani korisnik, nakon isteka razdoblja od šest mjeseci od dana zaprimanja odluke o dodjeli sredstava, obvezan je u roku od 30 dana osobno ili putem preporučene pošiljke s povratnicom dostaviti izrađenu LRS na CD-u/DVD-u, kao i odluku upravnog (izvršnog) tijela o usvajanju LRS, sukladno članku 9. stavku 3.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(14) Odabrani korisnik obvezan je podnijeti konačni zahtjev za isplatu u roku do 30 dana nakon što odabranom korisniku prestane mogućnost ostvarivanja potpore iz članka 7., točke 2. ovoga Pravilnika i to za troškove nastale od datuma isteka tromjesečja nakon kojeg je podnesen prethodni zahtjev za isplatu do datuma isteka mogućnosti ostvarivanja potpore iz članka 7., točke 2. ovoga Pravilnika, a sukladno članku 5. stavku 11.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(15) Za nepotpuni zahtjev za isplatu Agencija za plaćanja će donijeti zahtjev za dopunu/obrazloženje/ispravak kojim će od korisnika tražiti dostavljanje dokumentacije koja nedostaje. Korisnik je dužan dostaviti traženu dokumentaciju preporučenom pošiljkom ili osobno u Agenciju za plaćanja u roku od pet radnih dana od dana zaprimanja zahtjeva za dopunu/obrazloženje/ispravak. Ukoliko tražena dokumentacija ne bude poslana u zadanom roku smatrat će se da je korisnik odustao od dijela iznosa potpore za koji dokumentacija nije dostavljena.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(16) Vremenom zaprimanja zahtjeva za dopunu/obrazloženje/ispravak smatra se dan kada korisnik zaprimi preporučenu pošiljku.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(17) Ukoliko korisnik nije preuzeo zahtjev za dopunu/obrazloženje/ispravak prilikom prve dostave, dostava preporučene pošiljke bit će ponovljena još jednom. Ukoliko korisnik ne preuzme zahtjev za dopunu niti nakon ponovljene dostave, zahtjev za dopunu će se objaviti na oglasnoj ploči u sjedištu Agencije za plaćanja te će se dostava smatrati obavljenom istekom osmoga dana od dana stavljanja Zahtjeva za dopunu na oglasnu ploču.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(18) Za plaćanja izvršena u stranoj valuti u svrhu odobrenja zahtjeva za isplatu obračunat će se: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protuvrijednost u kunama po tečaju Europske komisije (ECB), u mjesecu zaprimanja Zahtjeva za isplatu iskazanom na šest decimala (navedeni tečaj se može dobiti na http://ec.europa.eu/budget/inforeuro/),</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u slučaju da je odabrani korisnik kupio strana sredstva plaćanja po nižem tečaju od ECB u mjesecu zaprimanja zahtjeva za isplatu iskazanom na šest decimala, isplata potpore temeljit će se na ostvarenom tečaju.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(19) Ukoliko se tijekom obrade zahtjeva za isplatu utvrdi ukupna nepravilnost, uzimajući u obzir i nepravilnosti utvrđene u prethodnim zahtjevima za isplatu, koja ne prelazi iznos od 50 % ukupne vrijednosti odobrenih sredstava javne potpore, Agencija za plaćanja će odbiti iznos nepravilnog troška od zahtjeva za isplatu i donijeti odluku o isplati u kojoj će ukupan iznos biti umanjen za iznos nepravilnog troška utvrđen u tom zahtjevu za isplatu.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Donošenje odluka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21.</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Nakon provjere zahtjeva za isplatu s pripadajućom dokumentacijom Agencija za plaćanja će donijeti: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Odluku o isplati ili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Odluku o odbijanju zahtjeva za isplatu.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Odluka o odbijanju zahtjeva za isplatu donosi se zbog:</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neispunjavanja uvjeta propisanih ovim Pravilnikom, odnosno Natječajem,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neprihvatljivosti aktivnosti i/ili svih troškova navedenih u listi prihvatljivih troškova propisanoj Natječajem za koje se traži potpora u obveznim zahtjevima za isplatu,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nedostavljanja obveznih zahtjeva za isplatu u roku propisanim ovim Pravilnikom,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onemogućavanja obavljanja kontrole na terenu,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nedostavljanja izrađene LRS i odluke o prihvaćanju iste sukladno članku 9. stavku 3.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6. korištenja opreme na način koji nije u skladu s njegovom namjenom,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utvrđenih razlika između dokumenata priloženih uz zahtjev za isplatu i dokumenata zatečenih u kontroli na terenu,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 ukoliko su troškovi za koje je podnesen zahtjev za isplatu financirani drugim sredstvima proračuna EU,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9. nedostavljanja dokumentacije navedene u članku 20. stavku 15. ovoga Pravilnika u roku propisanom Pravilnikom ukoliko se dopuna/obrazloženje/ispravak odnosi na obvezne zahtjeve za isplatu u cijelosti,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 korištenja unajmljenog prostora na način koji nije u skladu s njegovom namjenom,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11. nepodmirenih obveza prema državnom proračunu Republike Hrvatske prije podnošenja konačnog zahtjeva za isplatu,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12. utvrđene nepravilnosti kod koje je utvrđena i sumnja na prijevaru, a sredstva potpore nisu isplaćena korisniku, Agencija za plaćanja će zbog sumnje na prijevaru izvijestiti Državno odvjetništvo Republike Hrvatske (DORH) kako bi se pokrenuo postupak pred nadležnim sudom.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V. KONTROLA NA TERENU</w:t>
      </w:r>
    </w:p>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7"/>
          <w:szCs w:val="27"/>
          <w:lang w:eastAsia="hr-HR"/>
        </w:rPr>
        <w:t>Ovlaštenje za provedbu kontrole na terenu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22.</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Kontrolu na terenu provode djelatnici Agencije za plaćanja (u daljnjem tekstu: kontrolori).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Kontrolori provode kontrolu izvršenih usluga, radova i nabavljene opreme kod isplate u ratama, dok kod konačne isplate kontroliraju i upotrebu ulaganja prema odobrenoj namjeni.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Kontrolu na terenu provode kontrolori kontrolom prije isplate i tijekom petogodišnjeg razdoblja nakon izvršenoga konačnog plaćanja (ex post kontrola).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Osim redovnih kontrola, kontrole na terenu mogu se provoditi u bilo kojem trenutku unutar razdoblja navedenog u stavku 3.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Osim djelatnika iz stavka 1. ovoga članka kontrolu ulaganja mogu obavljati i djelatnici Službe za unutarnju reviziju Agencije za plaćanja, djelatnici Upravljačkog tijela, ARPA, revizori Europske komisije, Europski revizorski sud, predstavnici OLAF-a te druge institucije koje za to imaju ovlasti po posebnim propisima.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Ovlasti kontrolora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23.</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Pri obavljanju kontrole na terenu kontrolori mogu: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1. pregledati objekte, uređaje, robu te poslovnu dokumentaciju korisnika,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izvršiti uvid u dokumente korisnika koji se odnose na stjecanje prava na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provjeravati računovodstvene podatke iz poslovnih knjiga korisnika,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provjeravati evidencije vezane uz ulaganje i poslovanje korisnika,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provjeravati dokumente (račune, potvrde o plaćanju, bankovna izvješća korisnika i s njim povezanih osoba, podatke o korištenom materijalu, jamstvene listove, deklaracije i dr.),</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provjeravati vjerodostojnost dokumenata poslanih uz zahtjev za isplatu,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provjeravati uporabu ili spremnost ulaganja za uporabu,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 provjeravati rješenja, ugovore, potvrde drugih tijela koja prate rad korisnika,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9. provjeravati sve podatke koji se odnose na kvantitetu i kvalitetu roba i usluga,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 izvještavati nadležna tijela i tražiti provođenje određenog postupka ako sama nije ovlaštena izravno postupiti,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11. prikupljati podatke i obavijesti od odgovornih osoba, svjedoka, vještaka i drugih osoba kad je to potrebno za obavljanje kontrole.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Kontrolori mogu provesti kontrolu kod pravnih i fizičkih osoba te osoba koje su povezane s korisnikom u vezi predmetnog ulaganja.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Pravne i fizičke osobe iz stavka 2. ovoga članka dužne su omogućiti obavljanje kontrole, pružiti potrebne podatke i informacije, te osigurati uvjete za nesmetani rad kontrolora.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Kontrolu je moguće najaviti prije njezine provedbe pod uvjetom da se ne naruši svrha kontrole, pružajući korisniku samo nužne informacije.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VI. POVRAT SREDSTAVA, PRIGOVORI I STUPANJE NA SNAGU</w:t>
      </w:r>
    </w:p>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7"/>
          <w:szCs w:val="27"/>
          <w:lang w:eastAsia="hr-HR"/>
        </w:rPr>
        <w:t>Povrat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24.</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U slučaju periodičkih isplata kada je nepravilnost utvrđena prije konačne isplate, Agencija za plaćanja će odbiti iznos nepravilnog iznosa od sljedećeg/sljedećih zahtjeva za isplatu i donijeti odluku o isplati u kojoj će ukupan iznos biti umanjen za iznos nepravilnog iznosa.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Agencija za plaćanja će odlukom o povratu sredstava od odabranog korisnika zahtijevati povrat isplaćenih sredstava ako:</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se utvrdi administrativna pogreška učinjena od strane Agencije za plaćanja nakon konačne isplate, odlukom o povratu sredstava od odabranog korisnika će se zatražiti povrat utvrđenog nepravilnog iznosa,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2. su utvrđeni pojedini nepravilno isplaćeni troškovi nakon konačne isplate, odnosno kada utvrđena nepravilnost ne prelazi iznos od 50 % odobrenih sredstava javne potpore, odlukom o povratu sredstava Agencija za plaćanja će zahtijevati od odabranog korisnika povrat djelomično utvrđenog nepravilnog iznosa,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se u bilo kojem trenutku utvrdi nepravilnost koja prelazi iznos od 50 % odobrenih sredstava javne potpore, Agencija za plaćanja će zahtijevati od odabranog korisnika povrat ukupno isplaćenih sredstava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se u bilo kojem trenutku utvrdi nepravilnost koja ujedno predstavlja sumnju na prijevaru, odlukom o povratu sredstava Agencija za plaćanja će zahtijevati od odabranog korisnika povrat ukupno isplaćenih sredstava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se u slučaju periodičkih plaćanja utvrdi nepravilnost prije konačne isplate, a utvrđeni iznos nepravilnosti prelazi prihvatljivi iznos sljedećeg/sljedećih zahtjeva za isplatu, odlukom o povratu sredstava od odabranog korisnika će se zahtijevati povrat iznosa koji premašuje prihvatljivi iznos iz sljedećeg/sljedećih zahtjeva za isplatu,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se ne dostavi obvezni konačni zahtjev za isplatu, odlukom o povratu sredstava Agencija za plaćanja će zahtijevati od odabranog korisnika povrat ukupno isplaćenih sredstava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odabrani korisnik ne dostavi izrađenu LRS i odluku o prihvaćanju iste sukladno članku 9. stavku 3. ovoga Pravilnika,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 se utvrdi da su troškovi za koje je podnesen zahtjev za isplatu financirani drugim sredstvima proračuna EU, Agencija za plaćanja će zahtijevati od odabranog korisnika povrat ukupno isplaćenih sredstava potpore,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9. kontrola na terenu utvrdi nepravilnosti vezano za aktivnost,</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 je korisnik nezakonito ostvario pravo na isplatu novčanih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Korisnik iz stavka 2. ovoga članka dužan je isplaćena novčana sredstva vratiti u roku od 30 dana od dana primitka odluke o povratu sredstava ili u slučaju prigovora 30 dana od dana zaprimanja odluke povjerenstva.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Ukoliko korisnik nije vratio sredstva određena odlukom o povratu sredstava, na taj iznos se nakon isteka roka iz stavka 3. ovog članka obračunava zakonska zatezna kamata.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U slučaju nepoštivanja roka za povrat sredstava Agencija za plaćanja će zatražiti zaštitu svojih prava putem nadležnog suda.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Prigovori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25.</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Svi akti koji proizlaze iz ovoga Pravilnika nisu upravni akti.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(2) Korisnik može povjerenstvu za rješavanje po prigovorima (u daljnjem tekstu: Povjerenstvo), koje imenuje ministar, podnijeti prigovor na odluke koje proizlaze iz ovog Pravilnika, i to iz:</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članka 14. stavka 2. točke 1. ovoga Pravilnika na odluku o dodjeli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članka 14. stavka 2. točke 2. ovoga Pravilnika i članka 15. stavka 2. točke 2. ovoga Pravilnika na odluku o odbijanju,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članka 15. stavka 2. točke 1. ovoga Pravilnika na odluku o privremenoj raspodjeli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članka 21. stavka 1. točke 2. ovoga Pravilnika na odluku o odbijanju zahtjeva za isplatu,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članka 24. stavka 2. ovoga Pravilnika u slučajevima pod točkom 4. na odluku o povratu sredstava.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Ostali akti proizašli iz ovoga Pravilnika su konačni i korisnik nema pravo prigovora.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Akte iz stavaka 2. i 3. ovoga članka osim odluke o povratu sredstava korisnici su obvezni preuzeti putem AGRONET-a.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Po objavi akata u AGRONET-u korisnik će biti obaviješten putem elektroničke pošte da, u roku od pet dana od dana njihova stavljanja na AGRONET, iste mora preuzeti putem linka u AGRONET-u na kartici »ODLUKE«.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Ukoliko korisnik ne preuzme akte iz stavka 2. ovog članka s AGRONET-a u roku od pet dana od dana njihova stavljanja na AGRONET, Agencija za plaćanja će ih objaviti na oglasnoj ploči Agencije za plaćanja.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U slučaju iz stavka 6. ovog članka, akti iz stavka 2. ovog članka stupaju na snagu osmoga dana od dana objave na oglasnoj ploči Agencije za plaćanja.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 Korisnik može prigovore iz stavka 2. ovoga članka podnijeti u roku od osam dana od dana preuzimanja akata iz stavka 2. ovog članka u AGRONET-u ili dana objave na oglasnoj ploči Agencije za plaćanja.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(9) Prigovori iz stavka 2. ovoga članka podnose se Povjerenstvu u dva primjerka, isključivo preporučenom pošiljkom s povratnicom, na adresu Agencije za plaćanja, Ulica grada Vukovara 269d, 10000 Zagreb.</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 Povjerenstvo odlučuje po prigovorima iz stavka 2. ovog članka u roku od 15 radnih dana od dana zaprimanja prigovora.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(11) Na odluke Povjerenstva korisnik nema pravo prigovora.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(12) Nakon provedenog postupka odlučivanja po prigovoru kreirat će se konačna rang-lista za sve zahtjeve za potporu zaprimljene na Natječaju koja će biti objavljena u sklopu izvještaja o provedenom Natječaju koji će biti dostupan u AGRONET-u.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Postupak u slučaju neusklađenosti propisanih uvjeta s Programom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Članak 26.</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Ako nakon usvajanja Programa od strane Europske komisije uvjeti prihvatljivosti, prihvatljivi troškovi i iznosi javne potpore iz ovog Pravilnika budu neusklađeni s uvjetima, troškovima i iznosima javne potpore iz odobrenoga Programa, biti će financirani samo oni troškovi koji se odnose na one uvjete prihvatljivosti, prihvatljive troškove i iznose javne potpore tipa operacije 19.1.1. koji su u skladu s odobrenim Programom.</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Stupanje na snagu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Članak 27.</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Ovaj Pravilnik stupa na snagu osmoga dana od dana objave u »Narodnim novinama«.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Klasa: 011-01/14-01/43</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proofErr w:type="spellStart"/>
      <w:r w:rsidRPr="00704644">
        <w:rPr>
          <w:rFonts w:ascii="Times New Roman" w:eastAsia="Times New Roman" w:hAnsi="Times New Roman" w:cs="Times New Roman"/>
          <w:sz w:val="24"/>
          <w:szCs w:val="24"/>
          <w:lang w:eastAsia="hr-HR"/>
        </w:rPr>
        <w:t>Urbroj</w:t>
      </w:r>
      <w:proofErr w:type="spellEnd"/>
      <w:r w:rsidRPr="00704644">
        <w:rPr>
          <w:rFonts w:ascii="Times New Roman" w:eastAsia="Times New Roman" w:hAnsi="Times New Roman" w:cs="Times New Roman"/>
          <w:sz w:val="24"/>
          <w:szCs w:val="24"/>
          <w:lang w:eastAsia="hr-HR"/>
        </w:rPr>
        <w:t>: 525-08/1196-15-32</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Zagreb, 13. travnja 2015.</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Ministar</w:t>
      </w:r>
      <w:r w:rsidRPr="00704644">
        <w:rPr>
          <w:rFonts w:ascii="Times New Roman" w:eastAsia="Times New Roman" w:hAnsi="Times New Roman" w:cs="Times New Roman"/>
          <w:sz w:val="24"/>
          <w:szCs w:val="24"/>
          <w:lang w:eastAsia="hr-HR"/>
        </w:rPr>
        <w:br/>
        <w:t>Tihomir Jakovina, v. r.</w:t>
      </w:r>
    </w:p>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b/>
          <w:bCs/>
          <w:sz w:val="24"/>
          <w:szCs w:val="24"/>
          <w:lang w:eastAsia="hr-HR"/>
        </w:rPr>
        <w:t>PRILOG 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KRITERIJI ODAB</w:t>
      </w:r>
      <w:bookmarkStart w:id="0" w:name="anchor-40-anchor"/>
      <w:bookmarkEnd w:id="0"/>
      <w:r w:rsidRPr="00704644">
        <w:rPr>
          <w:rFonts w:ascii="Times New Roman" w:eastAsia="Times New Roman" w:hAnsi="Times New Roman" w:cs="Times New Roman"/>
          <w:sz w:val="24"/>
          <w:szCs w:val="24"/>
          <w:lang w:eastAsia="hr-HR"/>
        </w:rPr>
        <w:t>IRA ZAHTJEVA ZA POTPORU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xml:space="preserve">Kriteriji odabira za Mjeru 19 LEADER – CLLD, </w:t>
      </w:r>
      <w:bookmarkStart w:id="1" w:name="anchor-41-anchor"/>
      <w:bookmarkEnd w:id="1"/>
      <w:proofErr w:type="spellStart"/>
      <w:r w:rsidRPr="00704644">
        <w:rPr>
          <w:rFonts w:ascii="Times New Roman" w:eastAsia="Times New Roman" w:hAnsi="Times New Roman" w:cs="Times New Roman"/>
          <w:sz w:val="24"/>
          <w:szCs w:val="24"/>
          <w:lang w:eastAsia="hr-HR"/>
        </w:rPr>
        <w:t>Podmjeru</w:t>
      </w:r>
      <w:proofErr w:type="spellEnd"/>
      <w:r w:rsidRPr="00704644">
        <w:rPr>
          <w:rFonts w:ascii="Times New Roman" w:eastAsia="Times New Roman" w:hAnsi="Times New Roman" w:cs="Times New Roman"/>
          <w:sz w:val="24"/>
          <w:szCs w:val="24"/>
          <w:lang w:eastAsia="hr-HR"/>
        </w:rPr>
        <w:t xml:space="preserve"> 19.1. Pripremna pomoć, tip operacije 19.1.1 Pripremna pomoć:</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7699"/>
        <w:gridCol w:w="942"/>
      </w:tblGrid>
      <w:tr w:rsidR="00704644" w:rsidRPr="00704644" w:rsidTr="00704644">
        <w:trPr>
          <w:tblCellSpacing w:w="15" w:type="dxa"/>
        </w:trPr>
        <w:tc>
          <w:tcPr>
            <w:tcW w:w="0" w:type="auto"/>
            <w:gridSpan w:val="2"/>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KRITERIJI ODABIRA TIP OPERACIJE 19.1.1</w:t>
            </w:r>
          </w:p>
        </w:tc>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r>
      <w:tr w:rsidR="00704644" w:rsidRPr="00704644" w:rsidTr="00704644">
        <w:trPr>
          <w:tblCellSpacing w:w="15" w:type="dxa"/>
        </w:trPr>
        <w:tc>
          <w:tcPr>
            <w:tcW w:w="0" w:type="auto"/>
            <w:gridSpan w:val="2"/>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Kriterij</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Bodovi</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w:t>
            </w: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Broj stanovnika unutar LAG-a</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proofErr w:type="spellStart"/>
            <w:r w:rsidRPr="00704644">
              <w:rPr>
                <w:rFonts w:ascii="Times New Roman" w:eastAsia="Times New Roman" w:hAnsi="Times New Roman" w:cs="Times New Roman"/>
                <w:sz w:val="24"/>
                <w:szCs w:val="24"/>
                <w:lang w:eastAsia="hr-HR"/>
              </w:rPr>
              <w:t>maks</w:t>
            </w:r>
            <w:proofErr w:type="spellEnd"/>
            <w:r w:rsidRPr="00704644">
              <w:rPr>
                <w:rFonts w:ascii="Times New Roman" w:eastAsia="Times New Roman" w:hAnsi="Times New Roman" w:cs="Times New Roman"/>
                <w:sz w:val="24"/>
                <w:szCs w:val="24"/>
                <w:lang w:eastAsia="hr-HR"/>
              </w:rPr>
              <w:t>. 25</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10.001 – 20.000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20.001 – 50.000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50.001 – 70.000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15</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70.001 – 90.000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20</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90.001 – 149.999</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25</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w:t>
            </w: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Broj jedinica lokalne samouprave unutar LAG-a</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proofErr w:type="spellStart"/>
            <w:r w:rsidRPr="00704644">
              <w:rPr>
                <w:rFonts w:ascii="Times New Roman" w:eastAsia="Times New Roman" w:hAnsi="Times New Roman" w:cs="Times New Roman"/>
                <w:sz w:val="24"/>
                <w:szCs w:val="24"/>
                <w:lang w:eastAsia="hr-HR"/>
              </w:rPr>
              <w:t>maks</w:t>
            </w:r>
            <w:proofErr w:type="spellEnd"/>
            <w:r w:rsidRPr="00704644">
              <w:rPr>
                <w:rFonts w:ascii="Times New Roman" w:eastAsia="Times New Roman" w:hAnsi="Times New Roman" w:cs="Times New Roman"/>
                <w:sz w:val="24"/>
                <w:szCs w:val="24"/>
                <w:lang w:eastAsia="hr-HR"/>
              </w:rPr>
              <w:t>. 20</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 9</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 – 15</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15</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16 i više</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20</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w:t>
            </w: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Udio civilnog i gospodarskog sektora u upravnom (izvršnom) tijelu LAG-a (%)</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proofErr w:type="spellStart"/>
            <w:r w:rsidRPr="00704644">
              <w:rPr>
                <w:rFonts w:ascii="Times New Roman" w:eastAsia="Times New Roman" w:hAnsi="Times New Roman" w:cs="Times New Roman"/>
                <w:sz w:val="24"/>
                <w:szCs w:val="24"/>
                <w:lang w:eastAsia="hr-HR"/>
              </w:rPr>
              <w:t>maks</w:t>
            </w:r>
            <w:proofErr w:type="spellEnd"/>
            <w:r w:rsidRPr="00704644">
              <w:rPr>
                <w:rFonts w:ascii="Times New Roman" w:eastAsia="Times New Roman" w:hAnsi="Times New Roman" w:cs="Times New Roman"/>
                <w:sz w:val="24"/>
                <w:szCs w:val="24"/>
                <w:lang w:eastAsia="hr-HR"/>
              </w:rPr>
              <w:t>. 25</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51 – 70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15</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71 – 75</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20</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76 – 80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25</w:t>
            </w:r>
          </w:p>
        </w:tc>
      </w:tr>
      <w:tr w:rsidR="00704644" w:rsidRPr="00704644" w:rsidTr="00704644">
        <w:trPr>
          <w:tblCellSpacing w:w="15" w:type="dxa"/>
        </w:trPr>
        <w:tc>
          <w:tcPr>
            <w:tcW w:w="0" w:type="auto"/>
            <w:gridSpan w:val="2"/>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NAJVEĆI MOGUĆI BROJ BODOVA</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70</w:t>
            </w:r>
          </w:p>
        </w:tc>
      </w:tr>
      <w:tr w:rsidR="00704644" w:rsidRPr="00704644" w:rsidTr="00704644">
        <w:trPr>
          <w:tblCellSpacing w:w="15" w:type="dxa"/>
        </w:trPr>
        <w:tc>
          <w:tcPr>
            <w:tcW w:w="0" w:type="auto"/>
            <w:gridSpan w:val="2"/>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PRAG PROLAZNOSTI</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30</w:t>
            </w:r>
          </w:p>
        </w:tc>
      </w:tr>
    </w:tbl>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b/>
          <w:bCs/>
          <w:sz w:val="24"/>
          <w:szCs w:val="24"/>
          <w:lang w:eastAsia="hr-HR"/>
        </w:rPr>
        <w:t>PRILOG II.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BODOVI ZA IZRAČUN IZNOSA JAVNE POTPORE UNUTAR TIPA OPERACIJE 19.1.1. PRIPREMNA POMOĆ</w:t>
      </w:r>
    </w:p>
    <w:tbl>
      <w:tblPr>
        <w:tblW w:w="9360" w:type="dxa"/>
        <w:tblCellSpacing w:w="15" w:type="dxa"/>
        <w:tblCellMar>
          <w:top w:w="15" w:type="dxa"/>
          <w:left w:w="15" w:type="dxa"/>
          <w:bottom w:w="15" w:type="dxa"/>
          <w:right w:w="15" w:type="dxa"/>
        </w:tblCellMar>
        <w:tblLook w:val="04A0" w:firstRow="1" w:lastRow="0" w:firstColumn="1" w:lastColumn="0" w:noHBand="0" w:noVBand="1"/>
      </w:tblPr>
      <w:tblGrid>
        <w:gridCol w:w="243"/>
        <w:gridCol w:w="8335"/>
        <w:gridCol w:w="782"/>
      </w:tblGrid>
      <w:tr w:rsidR="00704644" w:rsidRPr="00704644" w:rsidTr="00704644">
        <w:trPr>
          <w:tblCellSpacing w:w="15" w:type="dxa"/>
        </w:trPr>
        <w:tc>
          <w:tcPr>
            <w:tcW w:w="0" w:type="auto"/>
            <w:gridSpan w:val="2"/>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BODOVI ZA IZRAČUN IZNOSA JAVNE POTPORE UNUTAR TIPA OPERACIJE 19.1.1. PRIPREMNA POMOĆ</w:t>
            </w:r>
          </w:p>
        </w:tc>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r>
      <w:tr w:rsidR="00704644" w:rsidRPr="00704644" w:rsidTr="00704644">
        <w:trPr>
          <w:tblCellSpacing w:w="15" w:type="dxa"/>
        </w:trPr>
        <w:tc>
          <w:tcPr>
            <w:tcW w:w="0" w:type="auto"/>
            <w:gridSpan w:val="2"/>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Kriterij</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Bodovi</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w:t>
            </w: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Broj stanovnika unutar LAG-a</w:t>
            </w:r>
          </w:p>
        </w:tc>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10.001 – 20.000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20.001 – 50.000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50.001 – 70.000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70.001 – 90.000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90.001 – 149.999</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w:t>
            </w: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Broj jedinica lokalne samouprave unutar LAG-a</w:t>
            </w:r>
          </w:p>
        </w:tc>
        <w:tc>
          <w:tcPr>
            <w:tcW w:w="0" w:type="auto"/>
            <w:vAlign w:val="center"/>
            <w:hideMark/>
          </w:tcPr>
          <w:p w:rsidR="00704644" w:rsidRPr="00704644" w:rsidRDefault="00704644" w:rsidP="00704644">
            <w:pPr>
              <w:spacing w:after="0" w:line="240" w:lineRule="auto"/>
              <w:jc w:val="center"/>
              <w:rPr>
                <w:rFonts w:ascii="Times New Roman" w:eastAsia="Times New Roman" w:hAnsi="Times New Roman" w:cs="Times New Roman"/>
                <w:sz w:val="24"/>
                <w:szCs w:val="24"/>
                <w:lang w:eastAsia="hr-HR"/>
              </w:rPr>
            </w:pP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 9</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 – 15</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16 i više</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w:t>
            </w: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Udio civilnog i gospodarskog sektora u upravnom (izvršnom) tijelu LAG-a (%)</w:t>
            </w:r>
          </w:p>
        </w:tc>
        <w:tc>
          <w:tcPr>
            <w:tcW w:w="0" w:type="auto"/>
            <w:vAlign w:val="center"/>
            <w:hideMark/>
          </w:tcPr>
          <w:p w:rsidR="00704644" w:rsidRPr="00704644" w:rsidRDefault="00704644" w:rsidP="00704644">
            <w:pPr>
              <w:spacing w:after="0" w:line="240" w:lineRule="auto"/>
              <w:jc w:val="center"/>
              <w:rPr>
                <w:rFonts w:ascii="Times New Roman" w:eastAsia="Times New Roman" w:hAnsi="Times New Roman" w:cs="Times New Roman"/>
                <w:sz w:val="24"/>
                <w:szCs w:val="24"/>
                <w:lang w:eastAsia="hr-HR"/>
              </w:rPr>
            </w:pP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0</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51 – 70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71 – 75</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76 – 80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w:t>
            </w:r>
          </w:p>
        </w:tc>
      </w:tr>
      <w:tr w:rsidR="00704644" w:rsidRPr="00704644" w:rsidTr="00704644">
        <w:trPr>
          <w:tblCellSpacing w:w="15" w:type="dxa"/>
        </w:trPr>
        <w:tc>
          <w:tcPr>
            <w:tcW w:w="0" w:type="auto"/>
            <w:gridSpan w:val="2"/>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NAJVEĆI MOGUĆI BROJ BODOVA</w:t>
            </w:r>
          </w:p>
        </w:tc>
        <w:tc>
          <w:tcPr>
            <w:tcW w:w="0" w:type="auto"/>
            <w:vAlign w:val="center"/>
            <w:hideMark/>
          </w:tcPr>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11</w:t>
            </w:r>
          </w:p>
        </w:tc>
      </w:tr>
    </w:tbl>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b/>
          <w:bCs/>
          <w:sz w:val="24"/>
          <w:szCs w:val="24"/>
          <w:lang w:eastAsia="hr-HR"/>
        </w:rPr>
        <w:t>PRILOG III.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POPIS NASELJA U REPUBLICI HRVATSKOJ S VIŠE OD 25.000 STANOVNIKA</w:t>
      </w:r>
    </w:p>
    <w:tbl>
      <w:tblPr>
        <w:tblW w:w="9120" w:type="dxa"/>
        <w:tblCellSpacing w:w="15" w:type="dxa"/>
        <w:tblCellMar>
          <w:top w:w="15" w:type="dxa"/>
          <w:left w:w="15" w:type="dxa"/>
          <w:bottom w:w="15" w:type="dxa"/>
          <w:right w:w="15" w:type="dxa"/>
        </w:tblCellMar>
        <w:tblLook w:val="04A0" w:firstRow="1" w:lastRow="0" w:firstColumn="1" w:lastColumn="0" w:noHBand="0" w:noVBand="1"/>
      </w:tblPr>
      <w:tblGrid>
        <w:gridCol w:w="2336"/>
        <w:gridCol w:w="3341"/>
        <w:gridCol w:w="3443"/>
      </w:tblGrid>
      <w:tr w:rsidR="00704644" w:rsidRPr="00704644" w:rsidTr="00704644">
        <w:trPr>
          <w:tblCellSpacing w:w="15" w:type="dxa"/>
        </w:trPr>
        <w:tc>
          <w:tcPr>
            <w:tcW w:w="0" w:type="auto"/>
            <w:gridSpan w:val="3"/>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POPIS NASELJA S VIŠE OD 25.000 STANOVNIKA</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Redni broj</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Naziv naselja</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Broj stanovnika</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Bjelovar</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27.099</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Dubrovnik</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28.113</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Karlovac</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46.827</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Osijek</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83.496</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Pula</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57.191</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Rijeka</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127.498</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Sesvete</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54.494</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Sisak</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33.049</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9</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Slavonski Brod</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53.473</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10</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Split</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165.893</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11</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Šibenik</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34.242</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12</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Varaždin</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38.746</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13</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Velika Gorica</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31.341</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14</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Vinkovci</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31.961</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15</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Vukovar</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26.716</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16</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Zadar</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70.674</w:t>
            </w:r>
          </w:p>
        </w:tc>
      </w:tr>
      <w:tr w:rsidR="00704644" w:rsidRPr="00704644" w:rsidTr="00704644">
        <w:trPr>
          <w:tblCellSpacing w:w="15" w:type="dxa"/>
        </w:trPr>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17</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Zagreb</w:t>
            </w:r>
          </w:p>
        </w:tc>
        <w:tc>
          <w:tcPr>
            <w:tcW w:w="0" w:type="auto"/>
            <w:vAlign w:val="center"/>
            <w:hideMark/>
          </w:tcPr>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686.568</w:t>
            </w:r>
          </w:p>
        </w:tc>
      </w:tr>
    </w:tbl>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IZVOR: Državni zavod za statistiku, 2011. g. (www.dzs.hr)</w:t>
      </w:r>
    </w:p>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b/>
          <w:bCs/>
          <w:sz w:val="24"/>
          <w:szCs w:val="24"/>
          <w:lang w:eastAsia="hr-HR"/>
        </w:rPr>
        <w:t>PRILOG IV.</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OBVEZNI SADRŽAJ I PREPORUKE ZA IZRADU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LRS mora sadržavati najmanje sljedeće stavke: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opis područja koje strategija obuhvaća (uključujući površinu, broj jedinica lokalne samouprave i naselja, broj stanovnika)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analizu razvojnih potreba i potencijala područja, uključujući SWOT analizu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opis ciljeva LRS te integriranog i inovativnog karaktera LRS uključujući jasne i mjerljive pokazatelje za izlazne pokazatelje ili rezultate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opis uključenosti lokalnih dionika u izradu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akcijski plan provedbe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način praćenja i procjene provedbe LRS (način upravljanja provedbom, nadzora provedbe i ocjenjivanja uspješnosti provedbe strategije)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opis sposobnosti provedbe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 financijski plan provedbe LRS i rada LAG-a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Preporuke za izradu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opis područja koje strategija obuhvaća (uključujući površinu, broj jedinica lokalne samouprave i naselja, broj stanovnika)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a. Opće zemljopisne značajke područja (površina i granice područja, reljefne i klimatske karakteristike, kulturna, povijesna, prirodna baština – Natura 2000, stanje društvene i komunalne infrastrukture)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 Gospodarski značajke područja (glavne gospodarske djelatnosti, stanje gospodarstva, tržište radne snage)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c. Demografske i socijalne značajke područja (broj i gustoća stanovnika, demografska kretanja, obrazovna struktura stanovništva, školstvo i kultura)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analiza razvojnih potreba i potencijala područja, uključujući SWOT analizu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a. Snage, slabosti, prilike i prijetnje područja LAG-a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3. opis ciljeva LRS te integriranog i inovativnog karaktera LRS uključujući jasne i mjerljive pokazatelje za izlazne pokazatelje ili rezultate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a. Ciljevi, prioriteti, mjere LRS za područja LAG-a temeljeni na mogućnostima PRR 2014 – 2020</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 Opis mjera uključujući definiranje korisnika, kriterija prihvatljivosti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c. Opis odabira projekta na nivou LAG-a (način odabira projekata, kriteriji, sastav tijela za odabir projekata uključujući i opis procedure dodjeljivanja višeg intenziteta potpore odabranom projektu)</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d. Opis tema planiranih projekta suradnje i način odabira projekata suradnje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e. Usklađenost sa nadređenim strateškim dokumentima (ŽRS, PRR)</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4. opis uključenosti lokalnih dionika u izradu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a. Opis sudjelovanja različitih interesnih skupina u izradu LRS i primjena načela »odozdo prema gore«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 Opis partnerstva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5. akcijski plan provedbe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a. Tijek provedbe LRS na nivou svake godine unutar programskog razdoblja 2014 – 2020</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 Procjena broja projekata za vrijeme programskog razdoblja 2014 – 2020</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6. način praćenja i procjene provedbe LRS (način upravljanja provedbom, nadzora provedbe i ocjenjivanja uspješnosti provedbe strategije)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a. Opis praćenja provedbe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 Indikatori za mjerenje učinka provedbe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c. Opis procjene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7. opis sposobnosti provedbe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a. Ljudski kapacitet za provedbu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 Financijski kapacitet za provedbu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c. Iskustvo u provedbi LEADER pristupa u programskom razdoblju 2007 – 2013</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d. Iskustvo u provedbi projekata izvan mjere LEADER</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8. financijski plan</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a. Financiranje rada LAG-a (izvori financiranja)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 Financiranje provedbe LRS</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c. Procjena potrebnih financijskih sredstava za provedbu projekata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LRS treba sadržavati do 60 stranica, font Times New Roman 12.</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Svi podaci i obrazloženja koja ne mogu biti navedena unutar 60 stranica, a imaju veliku važnost za pojašnjenje/obrazloženje navoda i podataka u LRS potrebno je navesti u prilozima LRS.</w:t>
      </w:r>
    </w:p>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b/>
          <w:bCs/>
          <w:sz w:val="24"/>
          <w:szCs w:val="24"/>
          <w:lang w:eastAsia="hr-HR"/>
        </w:rPr>
        <w:t>PRILOG V.</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OZNAČAVANJE AKTIVNOSTI SUFINANCIRANIH IZ PRORAČUNA EUROPSKE UNIJE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Sve aktivnosti koje se provode u okviru Programa, a financiraju se iz Europskog poljoprivrednog fonda za ruralni razvoj (EPFRR, engl. EAFRD) trebaju biti propisno označena, u skladu s prilogom XII. Uredbe (EU) br. 1303/2013.</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Označavanje aktivnosti je obveza krajnjeg korisnika.</w:t>
      </w:r>
    </w:p>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 Obveze korisnika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Korisnik je u obvezi propisno označiti svoju aktivnost, i to:</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1.1. Tijekom provedbe projekta: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A) Putem mrežne stranice, ukoliko korisnik ima takvu stranicu namijenjenu poslovnim potrebama. Na stranici se objavljuje kratak opis projekta, uključujući njegove ciljeve i rezultate, ističući financijsku potporu unije.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 Putem plakata (minimalno formata A3), za ulaganja kod kojih javna potpora prelazi iznos od 10.000 EUR-a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C) Putem informativne ploče, za ulaganja kod kojih vrijednost javne potpore prelazi iznos od 50.000 EUR-a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D) Putem privremenog panoa, za ulaganja u infrastrukturu/građevinske radove kod kojih vrijednost javne potpore premašuje iznos od 500.000 EUR-a.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Na plakatima, pločama i panoima trebaju biti navedeni podaci o projektu, uključujući i financijsku potporu unije.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1.2. Nakon dovršetka aktivnosti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Po dovršetku aktivnosti, korisnik na mjestu koje je lako vidljivo, postavlja trajnu ploču ili pano primjerene veličine s podacima o ulaganju, financijskom doprinosu unije. Ploča se postavlja i na sjedište LAG-a.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Korisnik kojemu je dodijeljena potpora za izradu ili izmjenu i dopunu dokumenta, po dovršetku ulaganja, označava dokument oznakom. Oznaka mora biti smještena na dnu zadnje stranice dokumenta, te mora sadržavati elemente navedene u točki 2.</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1.3. Označavanje opreme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Osim u slučaju kada je, uz prethodno odobrenje Agencije za plaćanja, sufinancirana oprema označena pločom postavljenom na objekt, sva oprema (uključujući i prijenosnu elektroničku opremu) mora biti označena odgovarajućom naljepnicom – pločicom na kojoj je otisnut sljedeći tekst: »Sufinancirano sredstvima Europske unije – Europski poljoprivredni fond za ruralni razvoj«.</w:t>
      </w:r>
    </w:p>
    <w:p w:rsidR="00704644" w:rsidRPr="00704644" w:rsidRDefault="00704644" w:rsidP="00704644">
      <w:pPr>
        <w:spacing w:before="100" w:beforeAutospacing="1" w:after="100" w:afterAutospacing="1" w:line="240" w:lineRule="auto"/>
        <w:jc w:val="center"/>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 Primjer označavanja aktivnosti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Plakat, informativna ploča, trajni ili privremeni pano za označavanje aktivnosti sadržavaju sljedeće elemente: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noProof/>
          <w:sz w:val="24"/>
          <w:szCs w:val="24"/>
          <w:lang w:eastAsia="hr-HR"/>
        </w:rPr>
        <w:drawing>
          <wp:inline distT="0" distB="0" distL="0" distR="0">
            <wp:extent cx="4763135" cy="2790825"/>
            <wp:effectExtent l="0" t="0" r="0" b="9525"/>
            <wp:docPr id="1" name="Picture 1" descr="https://narodne-novine.nn.hr/clanci/sluzbeni/dodatni/4357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narodne-novine.nn.hr/clanci/sluzbeni/dodatni/43570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3135" cy="2790825"/>
                    </a:xfrm>
                    <a:prstGeom prst="rect">
                      <a:avLst/>
                    </a:prstGeom>
                    <a:noFill/>
                    <a:ln>
                      <a:noFill/>
                    </a:ln>
                  </pic:spPr>
                </pic:pic>
              </a:graphicData>
            </a:graphic>
          </wp:inline>
        </w:drawing>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2.1. Tehničke karakteristike plakata/panoa/ploča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(a) Uz amblem (zastavu) EU-a stavlja se obavezno i zastava Republike Hrvatske:</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 Uz ove ambleme ističe se i sljedeća izjava: »Europski poljoprivredni fond za ruralni razvoj: Europa ulaže u ruralna područja«.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(c) Oznaka obavezno sadrži i naziv fonda iz kojeg se projekt sufinancira (EPFRR), naziv projekta te iznos sufinanciranja iz proračuna EU i RH (izraženo u %).</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lastRenderedPageBreak/>
        <w:t>(d) Za aktivnosti koje se financiraju u okviru LEADER-a, oznaka sadrži i logotip LEADER-a:</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(e) Minimalno 25% površine oznake (reklamnog panoa/ploče/plakata/</w:t>
      </w:r>
      <w:proofErr w:type="spellStart"/>
      <w:r w:rsidRPr="00704644">
        <w:rPr>
          <w:rFonts w:ascii="Times New Roman" w:eastAsia="Times New Roman" w:hAnsi="Times New Roman" w:cs="Times New Roman"/>
          <w:sz w:val="24"/>
          <w:szCs w:val="24"/>
          <w:lang w:eastAsia="hr-HR"/>
        </w:rPr>
        <w:t>banera</w:t>
      </w:r>
      <w:proofErr w:type="spellEnd"/>
      <w:r w:rsidRPr="00704644">
        <w:rPr>
          <w:rFonts w:ascii="Times New Roman" w:eastAsia="Times New Roman" w:hAnsi="Times New Roman" w:cs="Times New Roman"/>
          <w:sz w:val="24"/>
          <w:szCs w:val="24"/>
          <w:lang w:eastAsia="hr-HR"/>
        </w:rPr>
        <w:t xml:space="preserve"> na mrežnoj stranici) zauzimaju zastave EU i RH te obavezni tekst.</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(f) Ako je korisnikov projekt/ulaganje/aktivnost sufinancirana iz nekoliko različitih EU fondova, ne treba navoditi sve fondove izrijekom, već je dovoljno da se kaže kako je projekt/ulaganje sufinancirano iz Europskih strukturnih i investicijskih fondova (ESI).</w:t>
      </w:r>
    </w:p>
    <w:p w:rsidR="00704644" w:rsidRPr="00704644" w:rsidRDefault="00704644" w:rsidP="00704644">
      <w:pPr>
        <w:spacing w:before="100" w:beforeAutospacing="1" w:after="100" w:afterAutospacing="1"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(g) Detaljne informacije o grafičkim rješenjima oblikovanja simbola EU, dostupne su na stranici http://ec.europa.eu/europeaid/work/visibility/index_en.htm.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23"/>
      </w:tblGrid>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Dio NN: Službeni</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Vrsta dokumenta: Pravilnik</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Izdanje: NN 43/2015   </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Broj dokumenta u izdanju: 880</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roofErr w:type="spellStart"/>
            <w:r w:rsidRPr="00704644">
              <w:rPr>
                <w:rFonts w:ascii="Times New Roman" w:eastAsia="Times New Roman" w:hAnsi="Times New Roman" w:cs="Times New Roman"/>
                <w:sz w:val="24"/>
                <w:szCs w:val="24"/>
                <w:lang w:eastAsia="hr-HR"/>
              </w:rPr>
              <w:t>Donositelj:Ministarstvo</w:t>
            </w:r>
            <w:proofErr w:type="spellEnd"/>
            <w:r w:rsidRPr="00704644">
              <w:rPr>
                <w:rFonts w:ascii="Times New Roman" w:eastAsia="Times New Roman" w:hAnsi="Times New Roman" w:cs="Times New Roman"/>
                <w:sz w:val="24"/>
                <w:szCs w:val="24"/>
                <w:lang w:eastAsia="hr-HR"/>
              </w:rPr>
              <w:t xml:space="preserve"> poljoprivrede</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Datum tiskanog izdanja: 17.4.2015.</w:t>
            </w:r>
          </w:p>
        </w:tc>
      </w:tr>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xml:space="preserve">ELI: </w:t>
            </w:r>
            <w:hyperlink r:id="rId13" w:history="1">
              <w:r w:rsidRPr="00704644">
                <w:rPr>
                  <w:rFonts w:ascii="Times New Roman" w:eastAsia="Times New Roman" w:hAnsi="Times New Roman" w:cs="Times New Roman"/>
                  <w:color w:val="0000FF"/>
                  <w:sz w:val="24"/>
                  <w:szCs w:val="24"/>
                  <w:u w:val="single"/>
                  <w:lang w:eastAsia="hr-HR"/>
                </w:rPr>
                <w:t>/</w:t>
              </w:r>
              <w:proofErr w:type="spellStart"/>
              <w:r w:rsidRPr="00704644">
                <w:rPr>
                  <w:rFonts w:ascii="Times New Roman" w:eastAsia="Times New Roman" w:hAnsi="Times New Roman" w:cs="Times New Roman"/>
                  <w:color w:val="0000FF"/>
                  <w:sz w:val="24"/>
                  <w:szCs w:val="24"/>
                  <w:u w:val="single"/>
                  <w:lang w:eastAsia="hr-HR"/>
                </w:rPr>
                <w:t>eli</w:t>
              </w:r>
              <w:proofErr w:type="spellEnd"/>
              <w:r w:rsidRPr="00704644">
                <w:rPr>
                  <w:rFonts w:ascii="Times New Roman" w:eastAsia="Times New Roman" w:hAnsi="Times New Roman" w:cs="Times New Roman"/>
                  <w:color w:val="0000FF"/>
                  <w:sz w:val="24"/>
                  <w:szCs w:val="24"/>
                  <w:u w:val="single"/>
                  <w:lang w:eastAsia="hr-HR"/>
                </w:rPr>
                <w:t>/</w:t>
              </w:r>
              <w:proofErr w:type="spellStart"/>
              <w:r w:rsidRPr="00704644">
                <w:rPr>
                  <w:rFonts w:ascii="Times New Roman" w:eastAsia="Times New Roman" w:hAnsi="Times New Roman" w:cs="Times New Roman"/>
                  <w:color w:val="0000FF"/>
                  <w:sz w:val="24"/>
                  <w:szCs w:val="24"/>
                  <w:u w:val="single"/>
                  <w:lang w:eastAsia="hr-HR"/>
                </w:rPr>
                <w:t>sluzbeni</w:t>
              </w:r>
              <w:proofErr w:type="spellEnd"/>
              <w:r w:rsidRPr="00704644">
                <w:rPr>
                  <w:rFonts w:ascii="Times New Roman" w:eastAsia="Times New Roman" w:hAnsi="Times New Roman" w:cs="Times New Roman"/>
                  <w:color w:val="0000FF"/>
                  <w:sz w:val="24"/>
                  <w:szCs w:val="24"/>
                  <w:u w:val="single"/>
                  <w:lang w:eastAsia="hr-HR"/>
                </w:rPr>
                <w:t>/2015/43/880</w:t>
              </w:r>
            </w:hyperlink>
          </w:p>
        </w:tc>
      </w:tr>
    </w:tbl>
    <w:p w:rsidR="00704644" w:rsidRPr="00704644" w:rsidRDefault="00704644" w:rsidP="00704644">
      <w:pPr>
        <w:spacing w:after="0" w:line="240" w:lineRule="auto"/>
        <w:rPr>
          <w:rFonts w:ascii="Times New Roman" w:eastAsia="Times New Roman" w:hAnsi="Times New Roman" w:cs="Times New Roman"/>
          <w:vanish/>
          <w:sz w:val="24"/>
          <w:szCs w:val="24"/>
          <w:lang w:eastAsia="hr-H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04644" w:rsidRPr="00704644" w:rsidTr="00704644">
        <w:trPr>
          <w:tblCellSpacing w:w="15" w:type="dxa"/>
        </w:trPr>
        <w:tc>
          <w:tcPr>
            <w:tcW w:w="0" w:type="auto"/>
            <w:vAlign w:val="center"/>
            <w:hideMark/>
          </w:tcPr>
          <w:p w:rsidR="00704644" w:rsidRPr="00704644" w:rsidRDefault="00704644" w:rsidP="00704644">
            <w:pPr>
              <w:spacing w:after="0" w:line="240" w:lineRule="auto"/>
              <w:rPr>
                <w:rFonts w:ascii="Times New Roman" w:eastAsia="Times New Roman" w:hAnsi="Times New Roman" w:cs="Times New Roman"/>
                <w:sz w:val="24"/>
                <w:szCs w:val="24"/>
                <w:lang w:eastAsia="hr-HR"/>
              </w:rPr>
            </w:pPr>
          </w:p>
        </w:tc>
      </w:tr>
    </w:tbl>
    <w:p w:rsidR="00704644" w:rsidRPr="00704644" w:rsidRDefault="00704644" w:rsidP="00704644">
      <w:pPr>
        <w:spacing w:after="0" w:line="240" w:lineRule="auto"/>
        <w:rPr>
          <w:rFonts w:ascii="Times New Roman" w:eastAsia="Times New Roman" w:hAnsi="Times New Roman" w:cs="Times New Roman"/>
          <w:sz w:val="24"/>
          <w:szCs w:val="24"/>
          <w:lang w:eastAsia="hr-HR"/>
        </w:rPr>
      </w:pPr>
      <w:hyperlink r:id="rId14" w:tgtFrame="_blank" w:history="1">
        <w:r w:rsidRPr="00704644">
          <w:rPr>
            <w:rFonts w:ascii="Times New Roman" w:eastAsia="Times New Roman" w:hAnsi="Times New Roman" w:cs="Times New Roman"/>
            <w:color w:val="0000FF"/>
            <w:sz w:val="24"/>
            <w:szCs w:val="24"/>
            <w:u w:val="single"/>
            <w:lang w:eastAsia="hr-HR"/>
          </w:rPr>
          <w:t>Prikaz na čitavom ekranu</w:t>
        </w:r>
      </w:hyperlink>
    </w:p>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xml:space="preserve">Opći uvjeti </w:t>
      </w:r>
      <w:proofErr w:type="spellStart"/>
      <w:r w:rsidRPr="00704644">
        <w:rPr>
          <w:rFonts w:ascii="Times New Roman" w:eastAsia="Times New Roman" w:hAnsi="Times New Roman" w:cs="Times New Roman"/>
          <w:sz w:val="24"/>
          <w:szCs w:val="24"/>
          <w:lang w:eastAsia="hr-HR"/>
        </w:rPr>
        <w:t>korištenjaZaštita</w:t>
      </w:r>
      <w:proofErr w:type="spellEnd"/>
      <w:r w:rsidRPr="00704644">
        <w:rPr>
          <w:rFonts w:ascii="Times New Roman" w:eastAsia="Times New Roman" w:hAnsi="Times New Roman" w:cs="Times New Roman"/>
          <w:sz w:val="24"/>
          <w:szCs w:val="24"/>
          <w:lang w:eastAsia="hr-HR"/>
        </w:rPr>
        <w:t xml:space="preserve"> </w:t>
      </w:r>
      <w:proofErr w:type="spellStart"/>
      <w:r w:rsidRPr="00704644">
        <w:rPr>
          <w:rFonts w:ascii="Times New Roman" w:eastAsia="Times New Roman" w:hAnsi="Times New Roman" w:cs="Times New Roman"/>
          <w:sz w:val="24"/>
          <w:szCs w:val="24"/>
          <w:lang w:eastAsia="hr-HR"/>
        </w:rPr>
        <w:t>privatnosti</w:t>
      </w:r>
      <w:hyperlink r:id="rId15" w:history="1">
        <w:r w:rsidRPr="00704644">
          <w:rPr>
            <w:rFonts w:ascii="Times New Roman" w:eastAsia="Times New Roman" w:hAnsi="Times New Roman" w:cs="Times New Roman"/>
            <w:color w:val="0000FF"/>
            <w:sz w:val="24"/>
            <w:szCs w:val="24"/>
            <w:u w:val="single"/>
            <w:lang w:eastAsia="hr-HR"/>
          </w:rPr>
          <w:t>European</w:t>
        </w:r>
        <w:proofErr w:type="spellEnd"/>
        <w:r w:rsidRPr="00704644">
          <w:rPr>
            <w:rFonts w:ascii="Times New Roman" w:eastAsia="Times New Roman" w:hAnsi="Times New Roman" w:cs="Times New Roman"/>
            <w:color w:val="0000FF"/>
            <w:sz w:val="24"/>
            <w:szCs w:val="24"/>
            <w:u w:val="single"/>
            <w:lang w:eastAsia="hr-HR"/>
          </w:rPr>
          <w:t xml:space="preserve"> </w:t>
        </w:r>
        <w:proofErr w:type="spellStart"/>
        <w:r w:rsidRPr="00704644">
          <w:rPr>
            <w:rFonts w:ascii="Times New Roman" w:eastAsia="Times New Roman" w:hAnsi="Times New Roman" w:cs="Times New Roman"/>
            <w:color w:val="0000FF"/>
            <w:sz w:val="24"/>
            <w:szCs w:val="24"/>
            <w:u w:val="single"/>
            <w:lang w:eastAsia="hr-HR"/>
          </w:rPr>
          <w:t>Legislation</w:t>
        </w:r>
        <w:proofErr w:type="spellEnd"/>
        <w:r w:rsidRPr="00704644">
          <w:rPr>
            <w:rFonts w:ascii="Times New Roman" w:eastAsia="Times New Roman" w:hAnsi="Times New Roman" w:cs="Times New Roman"/>
            <w:color w:val="0000FF"/>
            <w:sz w:val="24"/>
            <w:szCs w:val="24"/>
            <w:u w:val="single"/>
            <w:lang w:eastAsia="hr-HR"/>
          </w:rPr>
          <w:t xml:space="preserve"> </w:t>
        </w:r>
        <w:proofErr w:type="spellStart"/>
        <w:r w:rsidRPr="00704644">
          <w:rPr>
            <w:rFonts w:ascii="Times New Roman" w:eastAsia="Times New Roman" w:hAnsi="Times New Roman" w:cs="Times New Roman"/>
            <w:color w:val="0000FF"/>
            <w:sz w:val="24"/>
            <w:szCs w:val="24"/>
            <w:u w:val="single"/>
            <w:lang w:eastAsia="hr-HR"/>
          </w:rPr>
          <w:t>Identifier</w:t>
        </w:r>
        <w:proofErr w:type="spellEnd"/>
        <w:r w:rsidRPr="00704644">
          <w:rPr>
            <w:rFonts w:ascii="Times New Roman" w:eastAsia="Times New Roman" w:hAnsi="Times New Roman" w:cs="Times New Roman"/>
            <w:color w:val="0000FF"/>
            <w:sz w:val="24"/>
            <w:szCs w:val="24"/>
            <w:u w:val="single"/>
            <w:lang w:eastAsia="hr-HR"/>
          </w:rPr>
          <w:t xml:space="preserve"> (ELI)</w:t>
        </w:r>
      </w:hyperlink>
    </w:p>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©2021. g. Narodne novine d.d.</w:t>
      </w:r>
    </w:p>
    <w:p w:rsidR="00704644" w:rsidRPr="00704644" w:rsidRDefault="00704644" w:rsidP="00704644">
      <w:pPr>
        <w:spacing w:after="0" w:line="240" w:lineRule="auto"/>
        <w:rPr>
          <w:rFonts w:ascii="Times New Roman" w:eastAsia="Times New Roman" w:hAnsi="Times New Roman" w:cs="Times New Roman"/>
          <w:sz w:val="24"/>
          <w:szCs w:val="24"/>
          <w:lang w:eastAsia="hr-HR"/>
        </w:rPr>
      </w:pPr>
      <w:r w:rsidRPr="00704644">
        <w:rPr>
          <w:rFonts w:ascii="Times New Roman" w:eastAsia="Times New Roman" w:hAnsi="Times New Roman" w:cs="Times New Roman"/>
          <w:sz w:val="24"/>
          <w:szCs w:val="24"/>
          <w:lang w:eastAsia="hr-HR"/>
        </w:rPr>
        <w:t>, izrada </w:t>
      </w:r>
      <w:proofErr w:type="spellStart"/>
      <w:r w:rsidRPr="00704644">
        <w:rPr>
          <w:rFonts w:ascii="Times New Roman" w:eastAsia="Times New Roman" w:hAnsi="Times New Roman" w:cs="Times New Roman"/>
          <w:sz w:val="24"/>
          <w:szCs w:val="24"/>
          <w:lang w:eastAsia="hr-HR"/>
        </w:rPr>
        <w:fldChar w:fldCharType="begin"/>
      </w:r>
      <w:r w:rsidRPr="00704644">
        <w:rPr>
          <w:rFonts w:ascii="Times New Roman" w:eastAsia="Times New Roman" w:hAnsi="Times New Roman" w:cs="Times New Roman"/>
          <w:sz w:val="24"/>
          <w:szCs w:val="24"/>
          <w:lang w:eastAsia="hr-HR"/>
        </w:rPr>
        <w:instrText xml:space="preserve"> HYPERLINK "http://novena.hr/" \t "_blank" </w:instrText>
      </w:r>
      <w:r w:rsidRPr="00704644">
        <w:rPr>
          <w:rFonts w:ascii="Times New Roman" w:eastAsia="Times New Roman" w:hAnsi="Times New Roman" w:cs="Times New Roman"/>
          <w:sz w:val="24"/>
          <w:szCs w:val="24"/>
          <w:lang w:eastAsia="hr-HR"/>
        </w:rPr>
        <w:fldChar w:fldCharType="separate"/>
      </w:r>
      <w:r w:rsidRPr="00704644">
        <w:rPr>
          <w:rFonts w:ascii="Times New Roman" w:eastAsia="Times New Roman" w:hAnsi="Times New Roman" w:cs="Times New Roman"/>
          <w:color w:val="0000FF"/>
          <w:sz w:val="24"/>
          <w:szCs w:val="24"/>
          <w:u w:val="single"/>
          <w:lang w:eastAsia="hr-HR"/>
        </w:rPr>
        <w:t>Novena</w:t>
      </w:r>
      <w:proofErr w:type="spellEnd"/>
      <w:r w:rsidRPr="00704644">
        <w:rPr>
          <w:rFonts w:ascii="Times New Roman" w:eastAsia="Times New Roman" w:hAnsi="Times New Roman" w:cs="Times New Roman"/>
          <w:color w:val="0000FF"/>
          <w:sz w:val="24"/>
          <w:szCs w:val="24"/>
          <w:u w:val="single"/>
          <w:lang w:eastAsia="hr-HR"/>
        </w:rPr>
        <w:t xml:space="preserve"> d.o.o.</w:t>
      </w:r>
      <w:r w:rsidRPr="00704644">
        <w:rPr>
          <w:rFonts w:ascii="Times New Roman" w:eastAsia="Times New Roman" w:hAnsi="Times New Roman" w:cs="Times New Roman"/>
          <w:sz w:val="24"/>
          <w:szCs w:val="24"/>
          <w:lang w:eastAsia="hr-HR"/>
        </w:rPr>
        <w:fldChar w:fldCharType="end"/>
      </w:r>
      <w:r w:rsidRPr="00704644">
        <w:rPr>
          <w:rFonts w:ascii="Times New Roman" w:eastAsia="Times New Roman" w:hAnsi="Times New Roman" w:cs="Times New Roman"/>
          <w:sz w:val="24"/>
          <w:szCs w:val="24"/>
          <w:lang w:eastAsia="hr-HR"/>
        </w:rPr>
        <w:t xml:space="preserve"> </w:t>
      </w:r>
    </w:p>
    <w:p w:rsidR="00595676" w:rsidRDefault="00704644">
      <w:bookmarkStart w:id="2" w:name="_GoBack"/>
      <w:bookmarkEnd w:id="2"/>
    </w:p>
    <w:sectPr w:rsidR="005956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644"/>
    <w:rsid w:val="00607A5D"/>
    <w:rsid w:val="00704644"/>
    <w:rsid w:val="00E26E8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783DC-99E4-4CEA-A1AD-72AAC1ED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704644"/>
    <w:pPr>
      <w:spacing w:before="100" w:beforeAutospacing="1" w:after="100" w:afterAutospacing="1" w:line="240" w:lineRule="auto"/>
      <w:outlineLvl w:val="1"/>
    </w:pPr>
    <w:rPr>
      <w:rFonts w:ascii="Times New Roman" w:eastAsia="Times New Roman" w:hAnsi="Times New Roman" w:cs="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0464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704644"/>
    <w:rPr>
      <w:color w:val="0000FF"/>
      <w:u w:val="single"/>
    </w:rPr>
  </w:style>
  <w:style w:type="character" w:styleId="Strong">
    <w:name w:val="Strong"/>
    <w:basedOn w:val="DefaultParagraphFont"/>
    <w:uiPriority w:val="22"/>
    <w:qFormat/>
    <w:rsid w:val="00704644"/>
    <w:rPr>
      <w:b/>
      <w:bCs/>
    </w:rPr>
  </w:style>
  <w:style w:type="paragraph" w:customStyle="1" w:styleId="tb-na18">
    <w:name w:val="tb-na18"/>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roj-d">
    <w:name w:val="broj-d"/>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9-8">
    <w:name w:val="t-9-8"/>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b-na16">
    <w:name w:val="tb-na16"/>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12-9-fett-s">
    <w:name w:val="t-12-9-fett-s"/>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11-9-sred">
    <w:name w:val="t-11-9-sred"/>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10-9-kurz-s-ispod">
    <w:name w:val="t-10-9-kurz-s-ispod"/>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kurziv">
    <w:name w:val="kurziv"/>
    <w:basedOn w:val="DefaultParagraphFont"/>
    <w:rsid w:val="00704644"/>
  </w:style>
  <w:style w:type="paragraph" w:customStyle="1" w:styleId="clanak-">
    <w:name w:val="clanak-"/>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10-9-kurz-s">
    <w:name w:val="t-10-9-kurz-s"/>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bold">
    <w:name w:val="bold"/>
    <w:basedOn w:val="DefaultParagraphFont"/>
    <w:rsid w:val="00704644"/>
  </w:style>
  <w:style w:type="paragraph" w:customStyle="1" w:styleId="klasa2">
    <w:name w:val="klasa2"/>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9-8-potpis">
    <w:name w:val="t-9-8-potpis"/>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prilog">
    <w:name w:val="prilog"/>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12-9-sred">
    <w:name w:val="t-12-9-sred"/>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9-8-bez-uvl">
    <w:name w:val="t-9-8-bez-uvl"/>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8-7">
    <w:name w:val="t-8-7"/>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slika">
    <w:name w:val="slika"/>
    <w:basedOn w:val="Normal"/>
    <w:rsid w:val="0070464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key">
    <w:name w:val="key"/>
    <w:basedOn w:val="DefaultParagraphFont"/>
    <w:rsid w:val="00704644"/>
  </w:style>
  <w:style w:type="character" w:customStyle="1" w:styleId="left">
    <w:name w:val="left"/>
    <w:basedOn w:val="DefaultParagraphFont"/>
    <w:rsid w:val="00704644"/>
  </w:style>
  <w:style w:type="character" w:customStyle="1" w:styleId="footertekst">
    <w:name w:val="footertekst"/>
    <w:basedOn w:val="DefaultParagraphFont"/>
    <w:rsid w:val="00704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297743">
      <w:bodyDiv w:val="1"/>
      <w:marLeft w:val="0"/>
      <w:marRight w:val="0"/>
      <w:marTop w:val="0"/>
      <w:marBottom w:val="0"/>
      <w:divBdr>
        <w:top w:val="none" w:sz="0" w:space="0" w:color="auto"/>
        <w:left w:val="none" w:sz="0" w:space="0" w:color="auto"/>
        <w:bottom w:val="none" w:sz="0" w:space="0" w:color="auto"/>
        <w:right w:val="none" w:sz="0" w:space="0" w:color="auto"/>
      </w:divBdr>
      <w:divsChild>
        <w:div w:id="1286934490">
          <w:marLeft w:val="0"/>
          <w:marRight w:val="0"/>
          <w:marTop w:val="0"/>
          <w:marBottom w:val="0"/>
          <w:divBdr>
            <w:top w:val="none" w:sz="0" w:space="0" w:color="auto"/>
            <w:left w:val="none" w:sz="0" w:space="0" w:color="auto"/>
            <w:bottom w:val="none" w:sz="0" w:space="0" w:color="auto"/>
            <w:right w:val="none" w:sz="0" w:space="0" w:color="auto"/>
          </w:divBdr>
          <w:divsChild>
            <w:div w:id="1154220235">
              <w:marLeft w:val="0"/>
              <w:marRight w:val="0"/>
              <w:marTop w:val="0"/>
              <w:marBottom w:val="0"/>
              <w:divBdr>
                <w:top w:val="none" w:sz="0" w:space="0" w:color="auto"/>
                <w:left w:val="none" w:sz="0" w:space="0" w:color="auto"/>
                <w:bottom w:val="none" w:sz="0" w:space="0" w:color="auto"/>
                <w:right w:val="none" w:sz="0" w:space="0" w:color="auto"/>
              </w:divBdr>
              <w:divsChild>
                <w:div w:id="1427189802">
                  <w:marLeft w:val="0"/>
                  <w:marRight w:val="0"/>
                  <w:marTop w:val="0"/>
                  <w:marBottom w:val="0"/>
                  <w:divBdr>
                    <w:top w:val="none" w:sz="0" w:space="0" w:color="auto"/>
                    <w:left w:val="none" w:sz="0" w:space="0" w:color="auto"/>
                    <w:bottom w:val="none" w:sz="0" w:space="0" w:color="auto"/>
                    <w:right w:val="none" w:sz="0" w:space="0" w:color="auto"/>
                  </w:divBdr>
                  <w:divsChild>
                    <w:div w:id="413165110">
                      <w:marLeft w:val="0"/>
                      <w:marRight w:val="0"/>
                      <w:marTop w:val="0"/>
                      <w:marBottom w:val="0"/>
                      <w:divBdr>
                        <w:top w:val="none" w:sz="0" w:space="0" w:color="auto"/>
                        <w:left w:val="none" w:sz="0" w:space="0" w:color="auto"/>
                        <w:bottom w:val="none" w:sz="0" w:space="0" w:color="auto"/>
                        <w:right w:val="none" w:sz="0" w:space="0" w:color="auto"/>
                      </w:divBdr>
                      <w:divsChild>
                        <w:div w:id="232936434">
                          <w:marLeft w:val="0"/>
                          <w:marRight w:val="0"/>
                          <w:marTop w:val="0"/>
                          <w:marBottom w:val="0"/>
                          <w:divBdr>
                            <w:top w:val="none" w:sz="0" w:space="0" w:color="auto"/>
                            <w:left w:val="none" w:sz="0" w:space="0" w:color="auto"/>
                            <w:bottom w:val="none" w:sz="0" w:space="0" w:color="auto"/>
                            <w:right w:val="none" w:sz="0" w:space="0" w:color="auto"/>
                          </w:divBdr>
                          <w:divsChild>
                            <w:div w:id="595670969">
                              <w:marLeft w:val="0"/>
                              <w:marRight w:val="0"/>
                              <w:marTop w:val="0"/>
                              <w:marBottom w:val="0"/>
                              <w:divBdr>
                                <w:top w:val="none" w:sz="0" w:space="0" w:color="auto"/>
                                <w:left w:val="none" w:sz="0" w:space="0" w:color="auto"/>
                                <w:bottom w:val="none" w:sz="0" w:space="0" w:color="auto"/>
                                <w:right w:val="none" w:sz="0" w:space="0" w:color="auto"/>
                              </w:divBdr>
                            </w:div>
                            <w:div w:id="1247227152">
                              <w:marLeft w:val="0"/>
                              <w:marRight w:val="0"/>
                              <w:marTop w:val="0"/>
                              <w:marBottom w:val="0"/>
                              <w:divBdr>
                                <w:top w:val="none" w:sz="0" w:space="0" w:color="auto"/>
                                <w:left w:val="none" w:sz="0" w:space="0" w:color="auto"/>
                                <w:bottom w:val="none" w:sz="0" w:space="0" w:color="auto"/>
                                <w:right w:val="none" w:sz="0" w:space="0" w:color="auto"/>
                              </w:divBdr>
                            </w:div>
                            <w:div w:id="161251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582775">
              <w:marLeft w:val="0"/>
              <w:marRight w:val="0"/>
              <w:marTop w:val="0"/>
              <w:marBottom w:val="0"/>
              <w:divBdr>
                <w:top w:val="none" w:sz="0" w:space="0" w:color="auto"/>
                <w:left w:val="none" w:sz="0" w:space="0" w:color="auto"/>
                <w:bottom w:val="none" w:sz="0" w:space="0" w:color="auto"/>
                <w:right w:val="none" w:sz="0" w:space="0" w:color="auto"/>
              </w:divBdr>
              <w:divsChild>
                <w:div w:id="1157303684">
                  <w:marLeft w:val="0"/>
                  <w:marRight w:val="0"/>
                  <w:marTop w:val="0"/>
                  <w:marBottom w:val="0"/>
                  <w:divBdr>
                    <w:top w:val="none" w:sz="0" w:space="0" w:color="auto"/>
                    <w:left w:val="none" w:sz="0" w:space="0" w:color="auto"/>
                    <w:bottom w:val="none" w:sz="0" w:space="0" w:color="auto"/>
                    <w:right w:val="none" w:sz="0" w:space="0" w:color="auto"/>
                  </w:divBdr>
                  <w:divsChild>
                    <w:div w:id="190860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843">
              <w:marLeft w:val="0"/>
              <w:marRight w:val="0"/>
              <w:marTop w:val="0"/>
              <w:marBottom w:val="0"/>
              <w:divBdr>
                <w:top w:val="none" w:sz="0" w:space="0" w:color="auto"/>
                <w:left w:val="none" w:sz="0" w:space="0" w:color="auto"/>
                <w:bottom w:val="none" w:sz="0" w:space="0" w:color="auto"/>
                <w:right w:val="none" w:sz="0" w:space="0" w:color="auto"/>
              </w:divBdr>
              <w:divsChild>
                <w:div w:id="713116549">
                  <w:marLeft w:val="0"/>
                  <w:marRight w:val="0"/>
                  <w:marTop w:val="0"/>
                  <w:marBottom w:val="0"/>
                  <w:divBdr>
                    <w:top w:val="none" w:sz="0" w:space="0" w:color="auto"/>
                    <w:left w:val="none" w:sz="0" w:space="0" w:color="auto"/>
                    <w:bottom w:val="none" w:sz="0" w:space="0" w:color="auto"/>
                    <w:right w:val="none" w:sz="0" w:space="0" w:color="auto"/>
                  </w:divBdr>
                  <w:divsChild>
                    <w:div w:id="5335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03735">
              <w:marLeft w:val="0"/>
              <w:marRight w:val="0"/>
              <w:marTop w:val="0"/>
              <w:marBottom w:val="0"/>
              <w:divBdr>
                <w:top w:val="none" w:sz="0" w:space="0" w:color="auto"/>
                <w:left w:val="none" w:sz="0" w:space="0" w:color="auto"/>
                <w:bottom w:val="none" w:sz="0" w:space="0" w:color="auto"/>
                <w:right w:val="none" w:sz="0" w:space="0" w:color="auto"/>
              </w:divBdr>
              <w:divsChild>
                <w:div w:id="1797720118">
                  <w:marLeft w:val="0"/>
                  <w:marRight w:val="0"/>
                  <w:marTop w:val="0"/>
                  <w:marBottom w:val="0"/>
                  <w:divBdr>
                    <w:top w:val="none" w:sz="0" w:space="0" w:color="auto"/>
                    <w:left w:val="none" w:sz="0" w:space="0" w:color="auto"/>
                    <w:bottom w:val="none" w:sz="0" w:space="0" w:color="auto"/>
                    <w:right w:val="none" w:sz="0" w:space="0" w:color="auto"/>
                  </w:divBdr>
                  <w:divsChild>
                    <w:div w:id="838230670">
                      <w:marLeft w:val="0"/>
                      <w:marRight w:val="0"/>
                      <w:marTop w:val="0"/>
                      <w:marBottom w:val="0"/>
                      <w:divBdr>
                        <w:top w:val="none" w:sz="0" w:space="0" w:color="auto"/>
                        <w:left w:val="none" w:sz="0" w:space="0" w:color="auto"/>
                        <w:bottom w:val="none" w:sz="0" w:space="0" w:color="auto"/>
                        <w:right w:val="none" w:sz="0" w:space="0" w:color="auto"/>
                      </w:divBdr>
                    </w:div>
                    <w:div w:id="1516461236">
                      <w:marLeft w:val="0"/>
                      <w:marRight w:val="0"/>
                      <w:marTop w:val="0"/>
                      <w:marBottom w:val="0"/>
                      <w:divBdr>
                        <w:top w:val="none" w:sz="0" w:space="0" w:color="auto"/>
                        <w:left w:val="none" w:sz="0" w:space="0" w:color="auto"/>
                        <w:bottom w:val="none" w:sz="0" w:space="0" w:color="auto"/>
                        <w:right w:val="none" w:sz="0" w:space="0" w:color="auto"/>
                      </w:divBdr>
                      <w:divsChild>
                        <w:div w:id="1697467610">
                          <w:marLeft w:val="0"/>
                          <w:marRight w:val="0"/>
                          <w:marTop w:val="0"/>
                          <w:marBottom w:val="0"/>
                          <w:divBdr>
                            <w:top w:val="none" w:sz="0" w:space="0" w:color="auto"/>
                            <w:left w:val="none" w:sz="0" w:space="0" w:color="auto"/>
                            <w:bottom w:val="none" w:sz="0" w:space="0" w:color="auto"/>
                            <w:right w:val="none" w:sz="0" w:space="0" w:color="auto"/>
                          </w:divBdr>
                          <w:divsChild>
                            <w:div w:id="684982651">
                              <w:marLeft w:val="0"/>
                              <w:marRight w:val="0"/>
                              <w:marTop w:val="0"/>
                              <w:marBottom w:val="0"/>
                              <w:divBdr>
                                <w:top w:val="none" w:sz="0" w:space="0" w:color="auto"/>
                                <w:left w:val="none" w:sz="0" w:space="0" w:color="auto"/>
                                <w:bottom w:val="none" w:sz="0" w:space="0" w:color="auto"/>
                                <w:right w:val="none" w:sz="0" w:space="0" w:color="auto"/>
                              </w:divBdr>
                              <w:divsChild>
                                <w:div w:id="793984559">
                                  <w:marLeft w:val="0"/>
                                  <w:marRight w:val="0"/>
                                  <w:marTop w:val="0"/>
                                  <w:marBottom w:val="0"/>
                                  <w:divBdr>
                                    <w:top w:val="none" w:sz="0" w:space="0" w:color="auto"/>
                                    <w:left w:val="none" w:sz="0" w:space="0" w:color="auto"/>
                                    <w:bottom w:val="none" w:sz="0" w:space="0" w:color="auto"/>
                                    <w:right w:val="none" w:sz="0" w:space="0" w:color="auto"/>
                                  </w:divBdr>
                                  <w:divsChild>
                                    <w:div w:id="1240552945">
                                      <w:marLeft w:val="0"/>
                                      <w:marRight w:val="0"/>
                                      <w:marTop w:val="0"/>
                                      <w:marBottom w:val="0"/>
                                      <w:divBdr>
                                        <w:top w:val="none" w:sz="0" w:space="0" w:color="auto"/>
                                        <w:left w:val="none" w:sz="0" w:space="0" w:color="auto"/>
                                        <w:bottom w:val="none" w:sz="0" w:space="0" w:color="auto"/>
                                        <w:right w:val="none" w:sz="0" w:space="0" w:color="auto"/>
                                      </w:divBdr>
                                      <w:divsChild>
                                        <w:div w:id="414204975">
                                          <w:marLeft w:val="0"/>
                                          <w:marRight w:val="0"/>
                                          <w:marTop w:val="0"/>
                                          <w:marBottom w:val="0"/>
                                          <w:divBdr>
                                            <w:top w:val="none" w:sz="0" w:space="0" w:color="auto"/>
                                            <w:left w:val="none" w:sz="0" w:space="0" w:color="auto"/>
                                            <w:bottom w:val="none" w:sz="0" w:space="0" w:color="auto"/>
                                            <w:right w:val="none" w:sz="0" w:space="0" w:color="auto"/>
                                          </w:divBdr>
                                          <w:divsChild>
                                            <w:div w:id="347757865">
                                              <w:marLeft w:val="0"/>
                                              <w:marRight w:val="0"/>
                                              <w:marTop w:val="0"/>
                                              <w:marBottom w:val="0"/>
                                              <w:divBdr>
                                                <w:top w:val="none" w:sz="0" w:space="0" w:color="auto"/>
                                                <w:left w:val="none" w:sz="0" w:space="0" w:color="auto"/>
                                                <w:bottom w:val="none" w:sz="0" w:space="0" w:color="auto"/>
                                                <w:right w:val="none" w:sz="0" w:space="0" w:color="auto"/>
                                              </w:divBdr>
                                              <w:divsChild>
                                                <w:div w:id="32637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2409024">
                      <w:marLeft w:val="0"/>
                      <w:marRight w:val="0"/>
                      <w:marTop w:val="0"/>
                      <w:marBottom w:val="0"/>
                      <w:divBdr>
                        <w:top w:val="none" w:sz="0" w:space="0" w:color="auto"/>
                        <w:left w:val="none" w:sz="0" w:space="0" w:color="auto"/>
                        <w:bottom w:val="none" w:sz="0" w:space="0" w:color="auto"/>
                        <w:right w:val="none" w:sz="0" w:space="0" w:color="auto"/>
                      </w:divBdr>
                      <w:divsChild>
                        <w:div w:id="1906407718">
                          <w:marLeft w:val="0"/>
                          <w:marRight w:val="0"/>
                          <w:marTop w:val="0"/>
                          <w:marBottom w:val="0"/>
                          <w:divBdr>
                            <w:top w:val="none" w:sz="0" w:space="0" w:color="auto"/>
                            <w:left w:val="none" w:sz="0" w:space="0" w:color="auto"/>
                            <w:bottom w:val="none" w:sz="0" w:space="0" w:color="auto"/>
                            <w:right w:val="none" w:sz="0" w:space="0" w:color="auto"/>
                          </w:divBdr>
                          <w:divsChild>
                            <w:div w:id="1236864297">
                              <w:marLeft w:val="0"/>
                              <w:marRight w:val="0"/>
                              <w:marTop w:val="0"/>
                              <w:marBottom w:val="0"/>
                              <w:divBdr>
                                <w:top w:val="none" w:sz="0" w:space="0" w:color="auto"/>
                                <w:left w:val="none" w:sz="0" w:space="0" w:color="auto"/>
                                <w:bottom w:val="none" w:sz="0" w:space="0" w:color="auto"/>
                                <w:right w:val="none" w:sz="0" w:space="0" w:color="auto"/>
                              </w:divBdr>
                              <w:divsChild>
                                <w:div w:id="755371157">
                                  <w:marLeft w:val="0"/>
                                  <w:marRight w:val="0"/>
                                  <w:marTop w:val="0"/>
                                  <w:marBottom w:val="0"/>
                                  <w:divBdr>
                                    <w:top w:val="none" w:sz="0" w:space="0" w:color="auto"/>
                                    <w:left w:val="none" w:sz="0" w:space="0" w:color="auto"/>
                                    <w:bottom w:val="none" w:sz="0" w:space="0" w:color="auto"/>
                                    <w:right w:val="none" w:sz="0" w:space="0" w:color="auto"/>
                                  </w:divBdr>
                                </w:div>
                                <w:div w:id="94314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6264850">
          <w:marLeft w:val="0"/>
          <w:marRight w:val="0"/>
          <w:marTop w:val="0"/>
          <w:marBottom w:val="0"/>
          <w:divBdr>
            <w:top w:val="none" w:sz="0" w:space="0" w:color="auto"/>
            <w:left w:val="none" w:sz="0" w:space="0" w:color="auto"/>
            <w:bottom w:val="none" w:sz="0" w:space="0" w:color="auto"/>
            <w:right w:val="none" w:sz="0" w:space="0" w:color="auto"/>
          </w:divBdr>
          <w:divsChild>
            <w:div w:id="1503736903">
              <w:marLeft w:val="0"/>
              <w:marRight w:val="0"/>
              <w:marTop w:val="0"/>
              <w:marBottom w:val="0"/>
              <w:divBdr>
                <w:top w:val="none" w:sz="0" w:space="0" w:color="auto"/>
                <w:left w:val="none" w:sz="0" w:space="0" w:color="auto"/>
                <w:bottom w:val="none" w:sz="0" w:space="0" w:color="auto"/>
                <w:right w:val="none" w:sz="0" w:space="0" w:color="auto"/>
              </w:divBdr>
              <w:divsChild>
                <w:div w:id="638341588">
                  <w:marLeft w:val="0"/>
                  <w:marRight w:val="0"/>
                  <w:marTop w:val="0"/>
                  <w:marBottom w:val="0"/>
                  <w:divBdr>
                    <w:top w:val="none" w:sz="0" w:space="0" w:color="auto"/>
                    <w:left w:val="none" w:sz="0" w:space="0" w:color="auto"/>
                    <w:bottom w:val="none" w:sz="0" w:space="0" w:color="auto"/>
                    <w:right w:val="none" w:sz="0" w:space="0" w:color="auto"/>
                  </w:divBdr>
                  <w:divsChild>
                    <w:div w:id="96963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s://narodne-novine.nn.hr/eli/sluzbeni/2015/43/880" TargetMode="External"/><Relationship Id="rId3" Type="http://schemas.openxmlformats.org/officeDocument/2006/relationships/webSettings" Target="webSettings.xml"/><Relationship Id="rId7" Type="http://schemas.openxmlformats.org/officeDocument/2006/relationships/hyperlink" Target="https://narodne-novine.nn.hr/email.aspx" TargetMode="External"/><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5.gif"/><Relationship Id="rId5" Type="http://schemas.openxmlformats.org/officeDocument/2006/relationships/hyperlink" Target="https://narodne-novine.nn.hr/upute.aspx" TargetMode="External"/><Relationship Id="rId15" Type="http://schemas.openxmlformats.org/officeDocument/2006/relationships/hyperlink" Target="https://narodne-novine.nn.hr/about_eli.aspx" TargetMode="External"/><Relationship Id="rId10" Type="http://schemas.openxmlformats.org/officeDocument/2006/relationships/image" Target="media/image4.gif"/><Relationship Id="rId4" Type="http://schemas.openxmlformats.org/officeDocument/2006/relationships/image" Target="media/image1.gif"/><Relationship Id="rId9" Type="http://schemas.openxmlformats.org/officeDocument/2006/relationships/hyperlink" Target="https://narodne-novine.nn.hr/search.aspx" TargetMode="External"/><Relationship Id="rId14" Type="http://schemas.openxmlformats.org/officeDocument/2006/relationships/hyperlink" Target="https://narodne-novine.nn.hr/clanci/sluzbeni/full/2015_04_43_88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8105</Words>
  <Characters>46202</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APPRRR</Company>
  <LinksUpToDate>false</LinksUpToDate>
  <CharactersWithSpaces>54199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Stokanović</dc:creator>
  <cp:keywords/>
  <dc:description/>
  <cp:lastModifiedBy>Maja Stokanović</cp:lastModifiedBy>
  <cp:revision>1</cp:revision>
  <dcterms:created xsi:type="dcterms:W3CDTF">2021-09-21T08:07:00Z</dcterms:created>
  <dcterms:modified xsi:type="dcterms:W3CDTF">2021-09-21T08:08:00Z</dcterms:modified>
</cp:coreProperties>
</file>